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B539C">
      <w:pPr>
        <w:rPr>
          <w:rFonts w:hint="eastAsia" w:ascii="方正小标宋简体" w:hAnsi="方正小标宋简体" w:eastAsia="方正小标宋简体" w:cs="方正小标宋简体"/>
          <w:bCs/>
          <w:color w:val="auto"/>
          <w:sz w:val="44"/>
          <w:szCs w:val="44"/>
        </w:rPr>
      </w:pPr>
      <w:r>
        <w:rPr>
          <w:rFonts w:hint="eastAsia" w:ascii="黑体" w:hAnsi="黑体" w:eastAsia="黑体" w:cs="黑体"/>
          <w:bCs/>
          <w:color w:val="auto"/>
          <w:sz w:val="32"/>
          <w:szCs w:val="32"/>
          <w:lang w:eastAsia="zh-CN"/>
        </w:rPr>
        <w:t>附件</w:t>
      </w:r>
      <w:r>
        <w:rPr>
          <w:rFonts w:hint="eastAsia" w:ascii="黑体" w:hAnsi="黑体" w:eastAsia="黑体" w:cs="黑体"/>
          <w:bCs/>
          <w:color w:val="auto"/>
          <w:sz w:val="32"/>
          <w:szCs w:val="32"/>
          <w:lang w:val="en-US" w:eastAsia="zh-CN"/>
        </w:rPr>
        <w:t>1</w:t>
      </w:r>
    </w:p>
    <w:p w14:paraId="2D50048C">
      <w:pPr>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报价函</w:t>
      </w:r>
    </w:p>
    <w:p w14:paraId="43693943">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Times New Roman" w:eastAsia="仿宋_GB2312" w:cs="Times New Roman"/>
          <w:bCs/>
          <w:sz w:val="32"/>
          <w:szCs w:val="32"/>
          <w:lang w:val="en-US" w:eastAsia="zh-CN"/>
        </w:rPr>
      </w:pPr>
      <w:r>
        <w:rPr>
          <w:rFonts w:hint="eastAsia" w:ascii="仿宋_GB2312" w:eastAsia="仿宋_GB2312" w:cs="Times New Roman"/>
          <w:bCs/>
          <w:sz w:val="32"/>
          <w:szCs w:val="32"/>
          <w:lang w:val="en-US" w:eastAsia="zh-CN"/>
        </w:rPr>
        <w:t>广汉市广投建材有限公司</w:t>
      </w:r>
      <w:r>
        <w:rPr>
          <w:rFonts w:hint="eastAsia" w:ascii="仿宋_GB2312" w:hAnsi="Times New Roman" w:eastAsia="仿宋_GB2312" w:cs="Times New Roman"/>
          <w:bCs/>
          <w:sz w:val="32"/>
          <w:szCs w:val="32"/>
          <w:lang w:val="en-US" w:eastAsia="zh-CN"/>
        </w:rPr>
        <w:t>：</w:t>
      </w:r>
    </w:p>
    <w:p w14:paraId="70337D9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imes New Roman"/>
          <w:bCs/>
          <w:sz w:val="32"/>
          <w:szCs w:val="32"/>
          <w:lang w:val="en-US" w:eastAsia="zh-CN"/>
        </w:rPr>
      </w:pPr>
      <w:r>
        <w:rPr>
          <w:rFonts w:hint="eastAsia" w:ascii="仿宋_GB2312" w:hAnsi="Times New Roman" w:eastAsia="仿宋_GB2312" w:cs="Times New Roman"/>
          <w:bCs/>
          <w:sz w:val="32"/>
          <w:szCs w:val="32"/>
          <w:lang w:val="en-US" w:eastAsia="zh-CN"/>
        </w:rPr>
        <w:t>关于“</w:t>
      </w:r>
      <w:r>
        <w:rPr>
          <w:rFonts w:hint="eastAsia" w:ascii="仿宋_GB2312" w:eastAsia="仿宋_GB2312" w:cs="Times New Roman"/>
          <w:bCs/>
          <w:sz w:val="32"/>
          <w:szCs w:val="32"/>
          <w:lang w:val="en-US" w:eastAsia="zh-CN"/>
        </w:rPr>
        <w:t>广汉市建筑材料加工厂及配套设施项目道闸系统及配套设施采购项目</w:t>
      </w:r>
      <w:r>
        <w:rPr>
          <w:rFonts w:hint="eastAsia" w:ascii="仿宋_GB2312" w:hAnsi="Times New Roman" w:eastAsia="仿宋_GB2312" w:cs="Times New Roman"/>
          <w:bCs/>
          <w:sz w:val="32"/>
          <w:szCs w:val="32"/>
          <w:lang w:val="en-US" w:eastAsia="zh-CN"/>
        </w:rPr>
        <w:t>”，结合本项目</w:t>
      </w:r>
      <w:r>
        <w:rPr>
          <w:rFonts w:hint="eastAsia" w:ascii="仿宋_GB2312" w:eastAsia="仿宋_GB2312" w:cs="Times New Roman"/>
          <w:bCs/>
          <w:sz w:val="32"/>
          <w:szCs w:val="32"/>
          <w:lang w:val="en-US" w:eastAsia="zh-CN"/>
        </w:rPr>
        <w:t>概况、设备参数</w:t>
      </w:r>
      <w:r>
        <w:rPr>
          <w:rFonts w:hint="eastAsia" w:ascii="仿宋_GB2312" w:hAnsi="Times New Roman" w:eastAsia="仿宋_GB2312" w:cs="Times New Roman"/>
          <w:bCs/>
          <w:sz w:val="32"/>
          <w:szCs w:val="32"/>
          <w:lang w:val="en-US" w:eastAsia="zh-CN"/>
        </w:rPr>
        <w:t>及报价要求，根据我公司测算，报价如下：</w:t>
      </w:r>
    </w:p>
    <w:tbl>
      <w:tblPr>
        <w:tblStyle w:val="5"/>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79"/>
        <w:gridCol w:w="2205"/>
        <w:gridCol w:w="1020"/>
        <w:gridCol w:w="1440"/>
      </w:tblGrid>
      <w:tr w14:paraId="2E6B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0"/>
            <w:vAlign w:val="center"/>
          </w:tcPr>
          <w:p w14:paraId="71764518">
            <w:pPr>
              <w:keepNext w:val="0"/>
              <w:keepLines w:val="0"/>
              <w:pageBreakBefore w:val="0"/>
              <w:widowControl w:val="0"/>
              <w:kinsoku/>
              <w:wordWrap/>
              <w:overflowPunct/>
              <w:topLinePunct w:val="0"/>
              <w:autoSpaceDE/>
              <w:autoSpaceDN/>
              <w:bidi w:val="0"/>
              <w:adjustRightInd/>
              <w:snapToGrid/>
              <w:spacing w:line="357" w:lineRule="atLeast"/>
              <w:jc w:val="center"/>
              <w:textAlignment w:val="auto"/>
              <w:rPr>
                <w:rFonts w:hint="default" w:ascii="仿宋_GB2312" w:hAnsi="Times New Roman" w:eastAsia="仿宋_GB2312" w:cs="Times New Roman"/>
                <w:bCs/>
                <w:sz w:val="28"/>
                <w:szCs w:val="28"/>
                <w:vertAlign w:val="baseline"/>
                <w:lang w:val="en-US" w:eastAsia="zh-CN"/>
              </w:rPr>
            </w:pPr>
            <w:r>
              <w:rPr>
                <w:rFonts w:hint="eastAsia" w:ascii="仿宋_GB2312" w:hAnsi="Times New Roman" w:eastAsia="仿宋_GB2312" w:cs="Times New Roman"/>
                <w:bCs/>
                <w:sz w:val="28"/>
                <w:szCs w:val="28"/>
                <w:vertAlign w:val="baseline"/>
                <w:lang w:val="en-US" w:eastAsia="zh-CN"/>
              </w:rPr>
              <w:t>序号</w:t>
            </w:r>
          </w:p>
        </w:tc>
        <w:tc>
          <w:tcPr>
            <w:tcW w:w="2679" w:type="dxa"/>
            <w:noWrap w:val="0"/>
            <w:vAlign w:val="center"/>
          </w:tcPr>
          <w:p w14:paraId="6DB8D6D5">
            <w:pPr>
              <w:keepNext w:val="0"/>
              <w:keepLines w:val="0"/>
              <w:pageBreakBefore w:val="0"/>
              <w:widowControl w:val="0"/>
              <w:kinsoku/>
              <w:wordWrap/>
              <w:overflowPunct/>
              <w:topLinePunct w:val="0"/>
              <w:autoSpaceDE/>
              <w:autoSpaceDN/>
              <w:bidi w:val="0"/>
              <w:adjustRightInd/>
              <w:snapToGrid/>
              <w:spacing w:line="357" w:lineRule="atLeast"/>
              <w:jc w:val="center"/>
              <w:textAlignment w:val="auto"/>
              <w:rPr>
                <w:rFonts w:hint="default" w:ascii="仿宋_GB2312" w:hAnsi="Times New Roman" w:eastAsia="仿宋_GB2312" w:cs="Times New Roman"/>
                <w:bCs/>
                <w:sz w:val="28"/>
                <w:szCs w:val="28"/>
                <w:vertAlign w:val="baseline"/>
                <w:lang w:val="en-US" w:eastAsia="zh-CN"/>
              </w:rPr>
            </w:pPr>
            <w:r>
              <w:rPr>
                <w:rFonts w:hint="eastAsia" w:ascii="仿宋_GB2312" w:hAnsi="Times New Roman" w:eastAsia="仿宋_GB2312" w:cs="Times New Roman"/>
                <w:bCs/>
                <w:sz w:val="28"/>
                <w:szCs w:val="28"/>
                <w:vertAlign w:val="baseline"/>
                <w:lang w:val="en-US" w:eastAsia="zh-CN"/>
              </w:rPr>
              <w:t>内容</w:t>
            </w:r>
          </w:p>
        </w:tc>
        <w:tc>
          <w:tcPr>
            <w:tcW w:w="2205" w:type="dxa"/>
            <w:noWrap w:val="0"/>
            <w:vAlign w:val="center"/>
          </w:tcPr>
          <w:p w14:paraId="6F3A458A">
            <w:pPr>
              <w:keepNext w:val="0"/>
              <w:keepLines w:val="0"/>
              <w:pageBreakBefore w:val="0"/>
              <w:widowControl w:val="0"/>
              <w:kinsoku/>
              <w:wordWrap/>
              <w:overflowPunct/>
              <w:topLinePunct w:val="0"/>
              <w:autoSpaceDE/>
              <w:autoSpaceDN/>
              <w:bidi w:val="0"/>
              <w:adjustRightInd/>
              <w:snapToGrid/>
              <w:spacing w:line="357" w:lineRule="atLeast"/>
              <w:jc w:val="center"/>
              <w:textAlignment w:val="auto"/>
              <w:rPr>
                <w:rFonts w:hint="default" w:ascii="仿宋_GB2312" w:hAnsi="Times New Roman" w:eastAsia="仿宋_GB2312" w:cs="Times New Roman"/>
                <w:bCs/>
                <w:sz w:val="28"/>
                <w:szCs w:val="28"/>
                <w:vertAlign w:val="baseline"/>
                <w:lang w:val="en-US" w:eastAsia="zh-CN"/>
              </w:rPr>
            </w:pPr>
            <w:r>
              <w:rPr>
                <w:rFonts w:hint="eastAsia" w:ascii="仿宋_GB2312" w:eastAsia="仿宋_GB2312" w:cs="Times New Roman"/>
                <w:bCs/>
                <w:sz w:val="28"/>
                <w:szCs w:val="28"/>
                <w:vertAlign w:val="baseline"/>
                <w:lang w:val="en-US" w:eastAsia="zh-CN"/>
              </w:rPr>
              <w:t>含税</w:t>
            </w:r>
            <w:r>
              <w:rPr>
                <w:rFonts w:hint="eastAsia" w:ascii="仿宋_GB2312" w:hAnsi="Times New Roman" w:eastAsia="仿宋_GB2312" w:cs="Times New Roman"/>
                <w:bCs/>
                <w:sz w:val="28"/>
                <w:szCs w:val="28"/>
                <w:vertAlign w:val="baseline"/>
                <w:lang w:val="en-US" w:eastAsia="zh-CN"/>
              </w:rPr>
              <w:t>报价（元）</w:t>
            </w:r>
          </w:p>
        </w:tc>
        <w:tc>
          <w:tcPr>
            <w:tcW w:w="1020" w:type="dxa"/>
            <w:noWrap w:val="0"/>
            <w:vAlign w:val="center"/>
          </w:tcPr>
          <w:p w14:paraId="68D55468">
            <w:pPr>
              <w:keepNext w:val="0"/>
              <w:keepLines w:val="0"/>
              <w:pageBreakBefore w:val="0"/>
              <w:widowControl w:val="0"/>
              <w:kinsoku/>
              <w:wordWrap/>
              <w:overflowPunct/>
              <w:topLinePunct w:val="0"/>
              <w:autoSpaceDE/>
              <w:autoSpaceDN/>
              <w:bidi w:val="0"/>
              <w:adjustRightInd/>
              <w:snapToGrid/>
              <w:spacing w:line="357" w:lineRule="atLeast"/>
              <w:jc w:val="center"/>
              <w:textAlignment w:val="auto"/>
              <w:rPr>
                <w:rFonts w:hint="default" w:ascii="仿宋_GB2312" w:hAnsi="Times New Roman" w:eastAsia="仿宋_GB2312" w:cs="Times New Roman"/>
                <w:bCs/>
                <w:sz w:val="28"/>
                <w:szCs w:val="28"/>
                <w:vertAlign w:val="baseline"/>
                <w:lang w:val="en-US" w:eastAsia="zh-CN"/>
              </w:rPr>
            </w:pPr>
            <w:r>
              <w:rPr>
                <w:rFonts w:hint="eastAsia" w:ascii="仿宋_GB2312" w:hAnsi="Times New Roman" w:eastAsia="仿宋_GB2312" w:cs="Times New Roman"/>
                <w:bCs/>
                <w:sz w:val="28"/>
                <w:szCs w:val="28"/>
                <w:vertAlign w:val="baseline"/>
                <w:lang w:val="en-US" w:eastAsia="zh-CN"/>
              </w:rPr>
              <w:t>税率</w:t>
            </w:r>
          </w:p>
        </w:tc>
        <w:tc>
          <w:tcPr>
            <w:tcW w:w="1440" w:type="dxa"/>
            <w:noWrap w:val="0"/>
            <w:vAlign w:val="center"/>
          </w:tcPr>
          <w:p w14:paraId="14C02AD1">
            <w:pPr>
              <w:keepNext w:val="0"/>
              <w:keepLines w:val="0"/>
              <w:pageBreakBefore w:val="0"/>
              <w:widowControl w:val="0"/>
              <w:kinsoku/>
              <w:wordWrap/>
              <w:overflowPunct/>
              <w:topLinePunct w:val="0"/>
              <w:autoSpaceDE/>
              <w:autoSpaceDN/>
              <w:bidi w:val="0"/>
              <w:adjustRightInd/>
              <w:snapToGrid/>
              <w:spacing w:line="357" w:lineRule="atLeast"/>
              <w:jc w:val="center"/>
              <w:textAlignment w:val="auto"/>
              <w:rPr>
                <w:rFonts w:hint="default" w:ascii="仿宋_GB2312" w:hAnsi="Times New Roman" w:eastAsia="仿宋_GB2312" w:cs="Times New Roman"/>
                <w:bCs/>
                <w:sz w:val="28"/>
                <w:szCs w:val="28"/>
                <w:vertAlign w:val="baseline"/>
                <w:lang w:val="en-US" w:eastAsia="zh-CN"/>
              </w:rPr>
            </w:pPr>
            <w:r>
              <w:rPr>
                <w:rFonts w:hint="eastAsia" w:ascii="仿宋_GB2312" w:hAnsi="Times New Roman" w:eastAsia="仿宋_GB2312" w:cs="Times New Roman"/>
                <w:bCs/>
                <w:sz w:val="28"/>
                <w:szCs w:val="28"/>
                <w:vertAlign w:val="baseline"/>
                <w:lang w:val="en-US" w:eastAsia="zh-CN"/>
              </w:rPr>
              <w:t>税额（元）</w:t>
            </w:r>
          </w:p>
        </w:tc>
      </w:tr>
      <w:tr w14:paraId="0D96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057" w:type="dxa"/>
            <w:noWrap w:val="0"/>
            <w:vAlign w:val="center"/>
          </w:tcPr>
          <w:p w14:paraId="259FF27E">
            <w:pPr>
              <w:keepNext w:val="0"/>
              <w:keepLines w:val="0"/>
              <w:pageBreakBefore w:val="0"/>
              <w:widowControl w:val="0"/>
              <w:kinsoku/>
              <w:wordWrap/>
              <w:overflowPunct/>
              <w:topLinePunct w:val="0"/>
              <w:autoSpaceDE/>
              <w:autoSpaceDN/>
              <w:bidi w:val="0"/>
              <w:adjustRightInd/>
              <w:snapToGrid/>
              <w:spacing w:line="357" w:lineRule="atLeast"/>
              <w:jc w:val="center"/>
              <w:textAlignment w:val="auto"/>
              <w:rPr>
                <w:rFonts w:hint="default" w:ascii="仿宋_GB2312" w:hAnsi="Times New Roman" w:eastAsia="仿宋_GB2312" w:cs="Times New Roman"/>
                <w:bCs/>
                <w:sz w:val="28"/>
                <w:szCs w:val="28"/>
                <w:vertAlign w:val="baseline"/>
                <w:lang w:val="en-US" w:eastAsia="zh-CN"/>
              </w:rPr>
            </w:pPr>
            <w:r>
              <w:rPr>
                <w:rFonts w:hint="eastAsia" w:ascii="仿宋_GB2312" w:hAnsi="Times New Roman" w:eastAsia="仿宋_GB2312" w:cs="Times New Roman"/>
                <w:bCs/>
                <w:sz w:val="28"/>
                <w:szCs w:val="28"/>
                <w:vertAlign w:val="baseline"/>
                <w:lang w:val="en-US" w:eastAsia="zh-CN"/>
              </w:rPr>
              <w:t>1</w:t>
            </w:r>
          </w:p>
        </w:tc>
        <w:tc>
          <w:tcPr>
            <w:tcW w:w="2679" w:type="dxa"/>
            <w:noWrap w:val="0"/>
            <w:vAlign w:val="center"/>
          </w:tcPr>
          <w:p w14:paraId="3A7C790C">
            <w:pPr>
              <w:keepNext w:val="0"/>
              <w:keepLines w:val="0"/>
              <w:pageBreakBefore w:val="0"/>
              <w:widowControl w:val="0"/>
              <w:kinsoku/>
              <w:wordWrap/>
              <w:overflowPunct/>
              <w:topLinePunct w:val="0"/>
              <w:autoSpaceDE/>
              <w:autoSpaceDN/>
              <w:bidi w:val="0"/>
              <w:adjustRightInd/>
              <w:snapToGrid/>
              <w:spacing w:line="357" w:lineRule="atLeast"/>
              <w:jc w:val="center"/>
              <w:textAlignment w:val="auto"/>
              <w:rPr>
                <w:rFonts w:hint="default" w:ascii="仿宋_GB2312" w:hAnsi="Times New Roman" w:eastAsia="仿宋_GB2312" w:cs="Times New Roman"/>
                <w:bCs/>
                <w:sz w:val="28"/>
                <w:szCs w:val="28"/>
                <w:vertAlign w:val="baseline"/>
                <w:lang w:val="en-US" w:eastAsia="zh-CN"/>
              </w:rPr>
            </w:pPr>
            <w:r>
              <w:rPr>
                <w:rFonts w:hint="eastAsia" w:ascii="仿宋_GB2312" w:eastAsia="仿宋_GB2312" w:cs="Times New Roman"/>
                <w:bCs/>
                <w:sz w:val="32"/>
                <w:szCs w:val="32"/>
                <w:lang w:val="en-US" w:eastAsia="zh-CN"/>
              </w:rPr>
              <w:t>广汉市建筑材料加工厂及配套设施项目道闸系统及配套设施采购项目</w:t>
            </w:r>
          </w:p>
        </w:tc>
        <w:tc>
          <w:tcPr>
            <w:tcW w:w="2205" w:type="dxa"/>
            <w:noWrap w:val="0"/>
            <w:vAlign w:val="center"/>
          </w:tcPr>
          <w:p w14:paraId="40894996">
            <w:pPr>
              <w:keepNext w:val="0"/>
              <w:keepLines w:val="0"/>
              <w:pageBreakBefore w:val="0"/>
              <w:widowControl w:val="0"/>
              <w:kinsoku/>
              <w:wordWrap/>
              <w:overflowPunct/>
              <w:topLinePunct w:val="0"/>
              <w:autoSpaceDE/>
              <w:autoSpaceDN/>
              <w:bidi w:val="0"/>
              <w:adjustRightInd/>
              <w:snapToGrid/>
              <w:spacing w:line="357" w:lineRule="atLeast"/>
              <w:jc w:val="center"/>
              <w:textAlignment w:val="auto"/>
              <w:rPr>
                <w:rFonts w:hint="default" w:ascii="仿宋_GB2312" w:hAnsi="Times New Roman" w:eastAsia="仿宋_GB2312" w:cs="Times New Roman"/>
                <w:bCs/>
                <w:sz w:val="28"/>
                <w:szCs w:val="28"/>
                <w:vertAlign w:val="baseline"/>
                <w:lang w:val="en-US" w:eastAsia="zh-CN"/>
              </w:rPr>
            </w:pPr>
          </w:p>
        </w:tc>
        <w:tc>
          <w:tcPr>
            <w:tcW w:w="1020" w:type="dxa"/>
            <w:noWrap w:val="0"/>
            <w:vAlign w:val="center"/>
          </w:tcPr>
          <w:p w14:paraId="5B70B361">
            <w:pPr>
              <w:keepNext w:val="0"/>
              <w:keepLines w:val="0"/>
              <w:pageBreakBefore w:val="0"/>
              <w:widowControl w:val="0"/>
              <w:kinsoku/>
              <w:wordWrap/>
              <w:overflowPunct/>
              <w:topLinePunct w:val="0"/>
              <w:autoSpaceDE/>
              <w:autoSpaceDN/>
              <w:bidi w:val="0"/>
              <w:adjustRightInd/>
              <w:snapToGrid/>
              <w:spacing w:line="357" w:lineRule="atLeast"/>
              <w:jc w:val="center"/>
              <w:textAlignment w:val="auto"/>
              <w:rPr>
                <w:rFonts w:hint="default" w:ascii="仿宋_GB2312" w:hAnsi="Times New Roman" w:eastAsia="仿宋_GB2312" w:cs="Times New Roman"/>
                <w:bCs/>
                <w:sz w:val="28"/>
                <w:szCs w:val="28"/>
                <w:vertAlign w:val="baseline"/>
                <w:lang w:val="en-US" w:eastAsia="zh-CN"/>
              </w:rPr>
            </w:pPr>
          </w:p>
        </w:tc>
        <w:tc>
          <w:tcPr>
            <w:tcW w:w="1440" w:type="dxa"/>
            <w:noWrap w:val="0"/>
            <w:vAlign w:val="center"/>
          </w:tcPr>
          <w:p w14:paraId="5A2C545F">
            <w:pPr>
              <w:keepNext w:val="0"/>
              <w:keepLines w:val="0"/>
              <w:pageBreakBefore w:val="0"/>
              <w:widowControl w:val="0"/>
              <w:kinsoku/>
              <w:wordWrap/>
              <w:overflowPunct/>
              <w:topLinePunct w:val="0"/>
              <w:autoSpaceDE/>
              <w:autoSpaceDN/>
              <w:bidi w:val="0"/>
              <w:adjustRightInd/>
              <w:snapToGrid/>
              <w:spacing w:line="357" w:lineRule="atLeast"/>
              <w:jc w:val="center"/>
              <w:textAlignment w:val="auto"/>
              <w:rPr>
                <w:rFonts w:hint="default" w:ascii="仿宋_GB2312" w:hAnsi="Times New Roman" w:eastAsia="仿宋_GB2312" w:cs="Times New Roman"/>
                <w:bCs/>
                <w:sz w:val="28"/>
                <w:szCs w:val="28"/>
                <w:vertAlign w:val="baseline"/>
                <w:lang w:val="en-US" w:eastAsia="zh-CN"/>
              </w:rPr>
            </w:pPr>
          </w:p>
        </w:tc>
      </w:tr>
    </w:tbl>
    <w:p w14:paraId="2BDAB6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left="0" w:right="0" w:firstLine="630"/>
        <w:jc w:val="both"/>
        <w:textAlignment w:val="auto"/>
        <w:rPr>
          <w:rFonts w:hint="default" w:ascii="仿宋_GB2312" w:hAnsi="仿宋_GB2312" w:eastAsia="仿宋_GB2312" w:cs="仿宋_GB2312"/>
          <w:i w:val="0"/>
          <w:iCs w:val="0"/>
          <w:caps w:val="0"/>
          <w:color w:val="666666"/>
          <w:spacing w:val="0"/>
          <w:sz w:val="32"/>
          <w:szCs w:val="32"/>
          <w:lang w:val="en-US" w:eastAsia="zh-CN"/>
        </w:rPr>
      </w:pPr>
      <w:r>
        <w:rPr>
          <w:rFonts w:hint="eastAsia" w:ascii="仿宋_GB2312" w:eastAsia="仿宋_GB2312" w:cs="Times New Roman"/>
          <w:bCs/>
          <w:sz w:val="32"/>
          <w:szCs w:val="32"/>
          <w:lang w:val="en-US" w:eastAsia="zh-CN"/>
        </w:rPr>
        <w:t>注：</w:t>
      </w:r>
      <w:r>
        <w:rPr>
          <w:rFonts w:hint="eastAsia" w:ascii="仿宋_GB2312" w:hAnsi="仿宋_GB2312" w:eastAsia="仿宋_GB2312" w:cs="仿宋_GB2312"/>
          <w:i w:val="0"/>
          <w:iCs w:val="0"/>
          <w:caps w:val="0"/>
          <w:color w:val="666666"/>
          <w:spacing w:val="0"/>
          <w:sz w:val="32"/>
          <w:szCs w:val="32"/>
          <w:shd w:val="clear" w:fill="FFFFFF"/>
        </w:rPr>
        <w:t>所有报价均用人民币表示，其中总价即为履行合同的固定价格，该费用为固定包干费用，包括但不限于设备费、人工费、材料费、机械费、运输费、保险费、交通费、差旅费、税费、</w:t>
      </w:r>
      <w:r>
        <w:rPr>
          <w:rFonts w:hint="eastAsia" w:ascii="仿宋_GB2312" w:hAnsi="仿宋_GB2312" w:eastAsia="仿宋_GB2312" w:cs="仿宋_GB2312"/>
          <w:i w:val="0"/>
          <w:iCs w:val="0"/>
          <w:caps w:val="0"/>
          <w:color w:val="666666"/>
          <w:spacing w:val="0"/>
          <w:sz w:val="32"/>
          <w:szCs w:val="32"/>
          <w:shd w:val="clear" w:fill="FFFFFF"/>
          <w:lang w:val="en-US" w:eastAsia="zh-CN"/>
        </w:rPr>
        <w:t>软件维护费、</w:t>
      </w:r>
      <w:r>
        <w:rPr>
          <w:rFonts w:hint="eastAsia" w:ascii="仿宋_GB2312" w:hAnsi="仿宋_GB2312" w:eastAsia="仿宋_GB2312" w:cs="仿宋_GB2312"/>
          <w:i w:val="0"/>
          <w:iCs w:val="0"/>
          <w:caps w:val="0"/>
          <w:color w:val="666666"/>
          <w:spacing w:val="0"/>
          <w:sz w:val="32"/>
          <w:szCs w:val="32"/>
          <w:shd w:val="clear" w:fill="FFFFFF"/>
        </w:rPr>
        <w:t>利润等为完成本项目采购的所有费用。</w:t>
      </w:r>
      <w:r>
        <w:rPr>
          <w:rFonts w:hint="eastAsia" w:ascii="仿宋_GB2312" w:hAnsi="仿宋_GB2312" w:eastAsia="仿宋_GB2312" w:cs="仿宋_GB2312"/>
          <w:i w:val="0"/>
          <w:iCs w:val="0"/>
          <w:caps w:val="0"/>
          <w:color w:val="666666"/>
          <w:spacing w:val="0"/>
          <w:sz w:val="32"/>
          <w:szCs w:val="32"/>
          <w:shd w:val="clear" w:fill="FFFFFF"/>
          <w:lang w:val="en-US" w:eastAsia="zh-CN"/>
        </w:rPr>
        <w:t>并承诺免费提供1年质保。</w:t>
      </w:r>
    </w:p>
    <w:p w14:paraId="082EF8D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Times New Roman" w:eastAsia="仿宋_GB2312" w:cs="Times New Roman"/>
          <w:bCs/>
          <w:sz w:val="32"/>
          <w:szCs w:val="32"/>
          <w:u w:val="none"/>
          <w:lang w:val="en-US" w:eastAsia="zh-CN"/>
        </w:rPr>
      </w:pPr>
      <w:bookmarkStart w:id="0" w:name="_GoBack"/>
      <w:bookmarkEnd w:id="0"/>
      <w:r>
        <w:rPr>
          <w:rFonts w:hint="eastAsia" w:ascii="仿宋_GB2312" w:eastAsia="仿宋_GB2312" w:cs="Times New Roman"/>
          <w:bCs/>
          <w:sz w:val="32"/>
          <w:szCs w:val="32"/>
          <w:lang w:val="en-US" w:eastAsia="zh-CN"/>
        </w:rPr>
        <w:t>本报价函的有效期为（≥45天）</w:t>
      </w:r>
      <w:r>
        <w:rPr>
          <w:rFonts w:hint="eastAsia" w:ascii="仿宋_GB2312" w:eastAsia="仿宋_GB2312" w:cs="Times New Roman"/>
          <w:bCs/>
          <w:sz w:val="32"/>
          <w:szCs w:val="32"/>
          <w:u w:val="single"/>
          <w:lang w:val="en-US" w:eastAsia="zh-CN"/>
        </w:rPr>
        <w:t xml:space="preserve">    </w:t>
      </w:r>
      <w:r>
        <w:rPr>
          <w:rFonts w:hint="eastAsia" w:ascii="仿宋_GB2312" w:eastAsia="仿宋_GB2312" w:cs="Times New Roman"/>
          <w:bCs/>
          <w:sz w:val="32"/>
          <w:szCs w:val="32"/>
          <w:u w:val="none"/>
          <w:lang w:val="en-US" w:eastAsia="zh-CN"/>
        </w:rPr>
        <w:t>天。</w:t>
      </w:r>
    </w:p>
    <w:p w14:paraId="01A59F3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imes New Roman"/>
          <w:bCs/>
          <w:sz w:val="32"/>
          <w:szCs w:val="32"/>
          <w:lang w:val="en-US" w:eastAsia="zh-CN"/>
        </w:rPr>
      </w:pPr>
    </w:p>
    <w:p w14:paraId="5D1F30BF">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Times New Roman" w:eastAsia="仿宋_GB2312" w:cs="Times New Roman"/>
          <w:bCs/>
          <w:sz w:val="32"/>
          <w:szCs w:val="32"/>
          <w:lang w:val="en-US" w:eastAsia="zh-CN"/>
        </w:rPr>
      </w:pPr>
      <w:r>
        <w:rPr>
          <w:rFonts w:hint="eastAsia" w:ascii="仿宋_GB2312" w:hAnsi="Times New Roman" w:eastAsia="仿宋_GB2312" w:cs="Times New Roman"/>
          <w:bCs/>
          <w:sz w:val="32"/>
          <w:szCs w:val="32"/>
          <w:lang w:val="en-US" w:eastAsia="zh-CN"/>
        </w:rPr>
        <w:t>单位名称：       （盖单位公章）</w:t>
      </w:r>
    </w:p>
    <w:p w14:paraId="47663403">
      <w:r>
        <w:rPr>
          <w:rFonts w:hint="eastAsia" w:ascii="仿宋_GB2312" w:hAnsi="Times New Roman" w:eastAsia="仿宋_GB2312" w:cs="Times New Roman"/>
          <w:bCs/>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24FA1"/>
    <w:rsid w:val="0FF52089"/>
    <w:rsid w:val="17E71BFA"/>
    <w:rsid w:val="183C630D"/>
    <w:rsid w:val="37FC2378"/>
    <w:rsid w:val="44F166E3"/>
    <w:rsid w:val="45A2455E"/>
    <w:rsid w:val="49575E6B"/>
    <w:rsid w:val="74BE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unhideWhenUsed/>
    <w:qFormat/>
    <w:uiPriority w:val="0"/>
    <w:pPr>
      <w:jc w:val="left"/>
    </w:pPr>
    <w:rPr>
      <w:color w:val="2B2B2B"/>
      <w:kern w:val="0"/>
      <w:sz w:val="24"/>
      <w:szCs w:val="20"/>
    </w:rPr>
  </w:style>
  <w:style w:type="table" w:styleId="5">
    <w:name w:val="Table Grid"/>
    <w:basedOn w:val="4"/>
    <w:qFormat/>
    <w:uiPriority w:val="0"/>
    <w:pPr>
      <w:spacing w:line="357" w:lineRule="atLeast"/>
      <w:jc w:val="both"/>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263</Words>
  <Characters>264</Characters>
  <Lines>0</Lines>
  <Paragraphs>0</Paragraphs>
  <TotalTime>0</TotalTime>
  <ScaleCrop>false</ScaleCrop>
  <LinksUpToDate>false</LinksUpToDate>
  <CharactersWithSpaces>312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2025-04-07T03:39:00Z</dcterms:created>
  <dc:creator>Administrator</dc:creator>
  <cp:lastModifiedBy>L·W·Y︶ㄣ</cp:lastModifiedBy>
  <dcterms:modified xsi:type="dcterms:W3CDTF">2025-09-02T09:45:59Z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eyJoZGlkIjoiMGFmODYzMWQyZDQ2ZTJhN2YzMzIyODdlYTcyZDk4MmMiLCJ1c2VySWQiOiIxMjMxMTI0NjgzIn0=</vt:lpwstr>
  </property>
  <property fmtid="{D5CDD505-2E9C-101B-9397-08002B2CF9AE}" pid="4" name="ICV">
    <vt:lpwstr>98B6AB5AF7344401A63DDA17B7B4AEEE_13</vt:lpwstr>
  </property>
</Properties>
</file>