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B6D561">
      <w:pPr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Times New Roman"/>
          <w:bCs/>
          <w:color w:val="auto"/>
          <w:sz w:val="32"/>
          <w:szCs w:val="32"/>
          <w:lang w:val="en-US" w:eastAsia="zh-CN"/>
        </w:rPr>
        <w:t>1</w:t>
      </w:r>
    </w:p>
    <w:p w14:paraId="3E812D30">
      <w:pPr>
        <w:jc w:val="center"/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</w:rPr>
        <w:t>报价函</w:t>
      </w:r>
    </w:p>
    <w:p w14:paraId="02E5A001">
      <w:pPr>
        <w:pStyle w:val="2"/>
        <w:rPr>
          <w:rFonts w:hint="default" w:ascii="Times New Roman" w:hAnsi="Times New Roman" w:cs="Times New Roman"/>
          <w:color w:val="auto"/>
        </w:rPr>
      </w:pPr>
    </w:p>
    <w:p w14:paraId="58BEAC6F">
      <w:pPr>
        <w:jc w:val="both"/>
        <w:rPr>
          <w:rFonts w:hint="default" w:ascii="Times New Roman" w:hAnsi="Times New Roman" w:eastAsia="宋体" w:cs="Times New Roman"/>
          <w:sz w:val="32"/>
          <w:szCs w:val="32"/>
          <w:vertAlign w:val="baseline"/>
        </w:rPr>
      </w:pPr>
      <w:r>
        <w:rPr>
          <w:rFonts w:hint="eastAsia" w:ascii="宋体" w:hAnsi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广汉市广投建材有限公司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：</w:t>
      </w:r>
    </w:p>
    <w:p w14:paraId="13098516">
      <w:pPr>
        <w:spacing w:line="440" w:lineRule="exact"/>
        <w:ind w:firstLine="560" w:firstLineChars="200"/>
        <w:jc w:val="left"/>
        <w:rPr>
          <w:rFonts w:hint="eastAsia" w:ascii="Times New Roman" w:hAnsi="Times New Roman" w:cs="Times New Roman"/>
          <w:color w:val="auto"/>
          <w:sz w:val="28"/>
          <w:szCs w:val="28"/>
          <w:lang w:eastAsia="zh-CN"/>
        </w:rPr>
      </w:pPr>
      <w:bookmarkStart w:id="0" w:name="_GoBack"/>
      <w:bookmarkEnd w:id="0"/>
      <w:r>
        <w:rPr>
          <w:rFonts w:hint="default" w:ascii="Times New Roman" w:hAnsi="Times New Roman" w:cs="Times New Roman"/>
          <w:color w:val="auto"/>
          <w:sz w:val="28"/>
          <w:szCs w:val="28"/>
        </w:rPr>
        <w:t>关于</w:t>
      </w:r>
      <w:r>
        <w:rPr>
          <w:rFonts w:hint="eastAsia" w:ascii="Times New Roman" w:hAnsi="Times New Roman" w:eastAsia="宋体" w:cs="Times New Roman"/>
          <w:color w:val="auto"/>
          <w:sz w:val="28"/>
          <w:szCs w:val="28"/>
          <w:u w:val="single"/>
          <w:lang w:val="en-US" w:eastAsia="zh-CN"/>
        </w:rPr>
        <w:t>采购建材产业园回填土方处置竞价代理机构服务商</w:t>
      </w:r>
      <w:r>
        <w:rPr>
          <w:rFonts w:hint="eastAsia" w:ascii="Times New Roman" w:hAnsi="Times New Roman" w:cs="Times New Roman"/>
          <w:color w:val="auto"/>
          <w:sz w:val="28"/>
          <w:szCs w:val="28"/>
          <w:u w:val="none"/>
          <w:lang w:val="en-US" w:eastAsia="zh-CN"/>
        </w:rPr>
        <w:t>项目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，结合本</w:t>
      </w:r>
      <w:r>
        <w:rPr>
          <w:rFonts w:hint="eastAsia" w:ascii="Times New Roman" w:hAnsi="Times New Roman" w:cs="Times New Roman"/>
          <w:color w:val="auto"/>
          <w:sz w:val="28"/>
          <w:szCs w:val="28"/>
          <w:lang w:eastAsia="zh-CN"/>
        </w:rPr>
        <w:t>项目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特点及服务工作内容，经仔细研究决定，我方（单位的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lang w:eastAsia="zh-CN"/>
        </w:rPr>
        <w:t>名称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）</w:t>
      </w:r>
      <w:r>
        <w:rPr>
          <w:rFonts w:hint="default" w:ascii="Times New Roman" w:hAnsi="Times New Roman" w:cs="Times New Roman"/>
          <w:color w:val="auto"/>
          <w:sz w:val="28"/>
          <w:szCs w:val="28"/>
          <w:u w:val="single"/>
        </w:rPr>
        <w:t xml:space="preserve">      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服务费金额</w:t>
      </w:r>
      <w:r>
        <w:rPr>
          <w:rFonts w:hint="eastAsia" w:ascii="Times New Roman" w:hAnsi="Times New Roman" w:cs="Times New Roman"/>
          <w:color w:val="auto"/>
          <w:sz w:val="28"/>
          <w:szCs w:val="28"/>
          <w:lang w:eastAsia="zh-CN"/>
        </w:rPr>
        <w:t>如下：</w:t>
      </w:r>
    </w:p>
    <w:p w14:paraId="7CA198D4">
      <w:pPr>
        <w:pStyle w:val="2"/>
        <w:rPr>
          <w:rFonts w:hint="eastAsia"/>
          <w:lang w:eastAsia="zh-CN"/>
        </w:rPr>
      </w:pPr>
    </w:p>
    <w:tbl>
      <w:tblPr>
        <w:tblStyle w:val="4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8"/>
        <w:gridCol w:w="3422"/>
        <w:gridCol w:w="2177"/>
        <w:gridCol w:w="1962"/>
      </w:tblGrid>
      <w:tr w14:paraId="01316A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6" w:hRule="atLeast"/>
          <w:jc w:val="center"/>
        </w:trPr>
        <w:tc>
          <w:tcPr>
            <w:tcW w:w="562" w:type="pct"/>
            <w:noWrap w:val="0"/>
            <w:vAlign w:val="center"/>
          </w:tcPr>
          <w:p w14:paraId="5F0042B7">
            <w:pPr>
              <w:jc w:val="center"/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宋体"/>
                <w:color w:val="auto"/>
                <w:sz w:val="24"/>
                <w:szCs w:val="24"/>
                <w:highlight w:val="none"/>
                <w:lang w:val="en-US" w:eastAsia="zh-CN"/>
              </w:rPr>
              <w:t>序号</w:t>
            </w:r>
          </w:p>
        </w:tc>
        <w:tc>
          <w:tcPr>
            <w:tcW w:w="2007" w:type="pct"/>
            <w:noWrap w:val="0"/>
            <w:vAlign w:val="center"/>
          </w:tcPr>
          <w:p w14:paraId="05AFC251">
            <w:pPr>
              <w:jc w:val="center"/>
              <w:rPr>
                <w:rFonts w:hint="default" w:ascii="Times New Roman" w:hAnsi="Times New Roman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宋体"/>
                <w:color w:val="auto"/>
                <w:sz w:val="24"/>
                <w:szCs w:val="24"/>
                <w:highlight w:val="none"/>
                <w:lang w:val="en-US" w:eastAsia="zh-CN"/>
              </w:rPr>
              <w:t>成交额（万元）</w:t>
            </w:r>
          </w:p>
        </w:tc>
        <w:tc>
          <w:tcPr>
            <w:tcW w:w="1277" w:type="pct"/>
            <w:noWrap w:val="0"/>
            <w:vAlign w:val="center"/>
          </w:tcPr>
          <w:p w14:paraId="25DBFD17">
            <w:pPr>
              <w:jc w:val="center"/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sz w:val="24"/>
                <w:szCs w:val="24"/>
                <w:highlight w:val="none"/>
                <w:lang w:val="en-US" w:eastAsia="zh-CN"/>
              </w:rPr>
              <w:t>差额定率累进收费标准</w:t>
            </w:r>
            <w:r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highlight w:val="none"/>
              </w:rPr>
              <w:t>（</w:t>
            </w:r>
            <w:r>
              <w:rPr>
                <w:rFonts w:hint="eastAsia" w:cs="宋体"/>
                <w:color w:val="auto"/>
                <w:sz w:val="24"/>
                <w:szCs w:val="24"/>
                <w:highlight w:val="none"/>
                <w:lang w:val="en-US" w:eastAsia="zh-CN"/>
              </w:rPr>
              <w:t>%</w:t>
            </w:r>
            <w:r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highlight w:val="none"/>
              </w:rPr>
              <w:t>）</w:t>
            </w:r>
          </w:p>
        </w:tc>
        <w:tc>
          <w:tcPr>
            <w:tcW w:w="1151" w:type="pct"/>
            <w:noWrap w:val="0"/>
            <w:vAlign w:val="center"/>
          </w:tcPr>
          <w:p w14:paraId="5A2057BD">
            <w:pPr>
              <w:jc w:val="center"/>
              <w:rPr>
                <w:rFonts w:hint="default" w:ascii="Times New Roman" w:hAnsi="Times New Roman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auto"/>
                <w:sz w:val="24"/>
                <w:szCs w:val="24"/>
                <w:highlight w:val="none"/>
                <w:lang w:val="en-US" w:eastAsia="zh-CN"/>
              </w:rPr>
              <w:t>费用承担对象</w:t>
            </w:r>
          </w:p>
        </w:tc>
      </w:tr>
      <w:tr w14:paraId="43A04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562" w:type="pct"/>
            <w:noWrap w:val="0"/>
            <w:vAlign w:val="center"/>
          </w:tcPr>
          <w:p w14:paraId="656D2580">
            <w:pPr>
              <w:pStyle w:val="2"/>
              <w:ind w:left="0" w:leftChars="0" w:right="0" w:rightChars="0"/>
              <w:jc w:val="center"/>
              <w:rPr>
                <w:rFonts w:hint="default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2007" w:type="pct"/>
            <w:noWrap w:val="0"/>
            <w:vAlign w:val="center"/>
          </w:tcPr>
          <w:p w14:paraId="27CE6D99">
            <w:pPr>
              <w:pStyle w:val="2"/>
              <w:ind w:left="0" w:leftChars="0" w:right="0" w:rightChars="0"/>
              <w:jc w:val="center"/>
              <w:rPr>
                <w:rFonts w:hint="eastAsia" w:ascii="Calibri" w:hAnsi="Calibri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Calibri" w:hAnsi="Calibri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100万元（含）以下</w:t>
            </w:r>
          </w:p>
        </w:tc>
        <w:tc>
          <w:tcPr>
            <w:tcW w:w="1277" w:type="pct"/>
            <w:noWrap w:val="0"/>
            <w:vAlign w:val="center"/>
          </w:tcPr>
          <w:p w14:paraId="18965B22">
            <w:pPr>
              <w:jc w:val="center"/>
              <w:rPr>
                <w:rFonts w:hint="default" w:ascii="Times New Roman" w:hAnsi="Times New Roman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51" w:type="pct"/>
            <w:vMerge w:val="restart"/>
            <w:noWrap w:val="0"/>
            <w:vAlign w:val="center"/>
          </w:tcPr>
          <w:p w14:paraId="326C6003">
            <w:pPr>
              <w:jc w:val="center"/>
              <w:rPr>
                <w:rFonts w:hint="eastAsia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宋体"/>
                <w:color w:val="auto"/>
                <w:sz w:val="24"/>
                <w:szCs w:val="24"/>
                <w:highlight w:val="none"/>
                <w:lang w:val="en-US" w:eastAsia="zh-CN"/>
              </w:rPr>
              <w:t>□委托方</w:t>
            </w:r>
          </w:p>
          <w:p w14:paraId="701CA285">
            <w:pPr>
              <w:jc w:val="center"/>
              <w:rPr>
                <w:rFonts w:hint="eastAsia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  <w:p w14:paraId="4B558913">
            <w:pPr>
              <w:jc w:val="center"/>
              <w:rPr>
                <w:rFonts w:hint="eastAsia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宋体"/>
                <w:color w:val="auto"/>
                <w:sz w:val="24"/>
                <w:szCs w:val="24"/>
                <w:highlight w:val="none"/>
                <w:lang w:val="en-US" w:eastAsia="zh-CN"/>
              </w:rPr>
              <w:t>☑竞得人</w:t>
            </w:r>
          </w:p>
          <w:p w14:paraId="1DF1AB2B">
            <w:pPr>
              <w:pStyle w:val="2"/>
              <w:rPr>
                <w:rFonts w:hint="eastAsia" w:ascii="Calibri" w:hAnsi="Calibri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  <w:p w14:paraId="0EE2D20F">
            <w:pPr>
              <w:pStyle w:val="6"/>
              <w:jc w:val="center"/>
              <w:rPr>
                <w:rFonts w:hint="eastAsia" w:ascii="Calibri" w:hAnsi="Calibri" w:eastAsia="宋体" w:cs="宋体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□委托方</w:t>
            </w:r>
          </w:p>
          <w:p w14:paraId="1E142593">
            <w:pPr>
              <w:pStyle w:val="6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cs="宋体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和竞得人</w:t>
            </w:r>
          </w:p>
        </w:tc>
      </w:tr>
      <w:tr w14:paraId="68593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562" w:type="pct"/>
            <w:noWrap w:val="0"/>
            <w:vAlign w:val="center"/>
          </w:tcPr>
          <w:p w14:paraId="76165F81">
            <w:pPr>
              <w:pStyle w:val="2"/>
              <w:ind w:left="0" w:leftChars="0" w:right="0" w:rightChars="0"/>
              <w:jc w:val="center"/>
              <w:rPr>
                <w:rFonts w:hint="default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2007" w:type="pct"/>
            <w:noWrap w:val="0"/>
            <w:vAlign w:val="center"/>
          </w:tcPr>
          <w:p w14:paraId="1D5DB695">
            <w:pPr>
              <w:pStyle w:val="2"/>
              <w:ind w:left="0" w:leftChars="0" w:right="0" w:rightChars="0"/>
              <w:jc w:val="center"/>
              <w:rPr>
                <w:rFonts w:hint="eastAsia" w:ascii="Calibri" w:hAnsi="Calibri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Calibri" w:hAnsi="Calibri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100万元（不含）以上~500万元（含）以下</w:t>
            </w:r>
          </w:p>
        </w:tc>
        <w:tc>
          <w:tcPr>
            <w:tcW w:w="1277" w:type="pct"/>
            <w:noWrap w:val="0"/>
            <w:vAlign w:val="center"/>
          </w:tcPr>
          <w:p w14:paraId="2DFA7EB5">
            <w:pPr>
              <w:jc w:val="center"/>
              <w:rPr>
                <w:rFonts w:hint="default" w:ascii="Times New Roman" w:hAnsi="Times New Roman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宋体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</w:p>
        </w:tc>
        <w:tc>
          <w:tcPr>
            <w:tcW w:w="1151" w:type="pct"/>
            <w:vMerge w:val="continue"/>
            <w:noWrap w:val="0"/>
            <w:vAlign w:val="center"/>
          </w:tcPr>
          <w:p w14:paraId="53171503">
            <w:pPr>
              <w:jc w:val="center"/>
              <w:rPr>
                <w:rFonts w:hint="eastAsia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2876A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562" w:type="pct"/>
            <w:noWrap w:val="0"/>
            <w:vAlign w:val="center"/>
          </w:tcPr>
          <w:p w14:paraId="55C59F05">
            <w:pPr>
              <w:pStyle w:val="2"/>
              <w:ind w:left="0" w:leftChars="0" w:right="0" w:rightChars="0"/>
              <w:jc w:val="center"/>
              <w:rPr>
                <w:rFonts w:hint="default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2007" w:type="pct"/>
            <w:noWrap w:val="0"/>
            <w:vAlign w:val="center"/>
          </w:tcPr>
          <w:p w14:paraId="63D93A4E">
            <w:pPr>
              <w:pStyle w:val="2"/>
              <w:ind w:left="0" w:leftChars="0" w:right="0" w:rightChars="0"/>
              <w:jc w:val="center"/>
              <w:rPr>
                <w:rFonts w:hint="eastAsia" w:ascii="Calibri" w:hAnsi="Calibri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Calibri" w:hAnsi="Calibri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500万元（不含）以上~1000万元（含）以下</w:t>
            </w:r>
          </w:p>
        </w:tc>
        <w:tc>
          <w:tcPr>
            <w:tcW w:w="1277" w:type="pct"/>
            <w:noWrap w:val="0"/>
            <w:vAlign w:val="center"/>
          </w:tcPr>
          <w:p w14:paraId="17EF11DB">
            <w:pPr>
              <w:jc w:val="center"/>
              <w:rPr>
                <w:rFonts w:hint="default" w:ascii="Times New Roman" w:hAnsi="Times New Roman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宋体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</w:p>
        </w:tc>
        <w:tc>
          <w:tcPr>
            <w:tcW w:w="1151" w:type="pct"/>
            <w:vMerge w:val="continue"/>
            <w:noWrap w:val="0"/>
            <w:vAlign w:val="center"/>
          </w:tcPr>
          <w:p w14:paraId="3F1F0F40">
            <w:pPr>
              <w:jc w:val="center"/>
              <w:rPr>
                <w:rFonts w:hint="eastAsia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77673B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62" w:type="pct"/>
            <w:noWrap w:val="0"/>
            <w:vAlign w:val="center"/>
          </w:tcPr>
          <w:p w14:paraId="60A7E11F">
            <w:pPr>
              <w:pStyle w:val="2"/>
              <w:ind w:left="0" w:leftChars="0" w:right="0" w:rightChars="0"/>
              <w:jc w:val="center"/>
              <w:rPr>
                <w:rFonts w:hint="default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2007" w:type="pct"/>
            <w:noWrap w:val="0"/>
            <w:vAlign w:val="center"/>
          </w:tcPr>
          <w:p w14:paraId="13A6B0C6">
            <w:pPr>
              <w:pStyle w:val="2"/>
              <w:ind w:left="0" w:leftChars="0" w:right="0" w:rightChars="0"/>
              <w:jc w:val="center"/>
              <w:rPr>
                <w:rFonts w:hint="eastAsia" w:ascii="Calibri" w:hAnsi="Calibri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Calibri" w:hAnsi="Calibri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1000万元（不含）以上~5000万元（含）以下</w:t>
            </w:r>
          </w:p>
        </w:tc>
        <w:tc>
          <w:tcPr>
            <w:tcW w:w="1277" w:type="pct"/>
            <w:noWrap w:val="0"/>
            <w:vAlign w:val="center"/>
          </w:tcPr>
          <w:p w14:paraId="1213C78B">
            <w:pPr>
              <w:jc w:val="center"/>
              <w:rPr>
                <w:rFonts w:hint="default" w:ascii="Times New Roman" w:hAnsi="Times New Roman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宋体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</w:p>
        </w:tc>
        <w:tc>
          <w:tcPr>
            <w:tcW w:w="1151" w:type="pct"/>
            <w:vMerge w:val="continue"/>
            <w:noWrap w:val="0"/>
            <w:vAlign w:val="center"/>
          </w:tcPr>
          <w:p w14:paraId="45C9A2D9">
            <w:pPr>
              <w:jc w:val="center"/>
              <w:rPr>
                <w:rFonts w:hint="eastAsia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60157C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62" w:type="pct"/>
            <w:noWrap w:val="0"/>
            <w:vAlign w:val="center"/>
          </w:tcPr>
          <w:p w14:paraId="64BF0086">
            <w:pPr>
              <w:pStyle w:val="2"/>
              <w:ind w:left="0" w:leftChars="0" w:right="0" w:rightChars="0"/>
              <w:jc w:val="center"/>
              <w:rPr>
                <w:rFonts w:hint="default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2007" w:type="pct"/>
            <w:noWrap w:val="0"/>
            <w:vAlign w:val="center"/>
          </w:tcPr>
          <w:p w14:paraId="5DC0DDD5">
            <w:pPr>
              <w:pStyle w:val="2"/>
              <w:ind w:left="0" w:leftChars="0" w:right="0" w:rightChars="0"/>
              <w:jc w:val="center"/>
              <w:rPr>
                <w:rFonts w:hint="eastAsia" w:ascii="Calibri" w:hAnsi="Calibri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Calibri" w:hAnsi="Calibri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5000万元（含）以上~10000万元（不含）以下</w:t>
            </w:r>
          </w:p>
        </w:tc>
        <w:tc>
          <w:tcPr>
            <w:tcW w:w="1277" w:type="pct"/>
            <w:noWrap w:val="0"/>
            <w:vAlign w:val="center"/>
          </w:tcPr>
          <w:p w14:paraId="636162B4">
            <w:pPr>
              <w:jc w:val="center"/>
              <w:rPr>
                <w:rFonts w:hint="default" w:ascii="Times New Roman" w:hAnsi="Times New Roman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宋体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</w:p>
        </w:tc>
        <w:tc>
          <w:tcPr>
            <w:tcW w:w="1151" w:type="pct"/>
            <w:vMerge w:val="continue"/>
            <w:noWrap w:val="0"/>
            <w:vAlign w:val="center"/>
          </w:tcPr>
          <w:p w14:paraId="085C4A86">
            <w:pPr>
              <w:jc w:val="center"/>
              <w:rPr>
                <w:rFonts w:hint="eastAsia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6A04AE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562" w:type="pct"/>
            <w:noWrap w:val="0"/>
            <w:vAlign w:val="center"/>
          </w:tcPr>
          <w:p w14:paraId="1D30C4D5">
            <w:pPr>
              <w:pStyle w:val="2"/>
              <w:ind w:left="0" w:leftChars="0" w:right="0" w:rightChars="0"/>
              <w:jc w:val="center"/>
              <w:rPr>
                <w:rFonts w:hint="default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2007" w:type="pct"/>
            <w:noWrap w:val="0"/>
            <w:vAlign w:val="center"/>
          </w:tcPr>
          <w:p w14:paraId="0133D873">
            <w:pPr>
              <w:pStyle w:val="2"/>
              <w:ind w:left="0" w:leftChars="0" w:right="0" w:rightChars="0"/>
              <w:jc w:val="center"/>
              <w:rPr>
                <w:rFonts w:hint="eastAsia" w:ascii="Calibri" w:hAnsi="Calibri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Calibri" w:hAnsi="Calibri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10000万元（含）以上</w:t>
            </w:r>
          </w:p>
        </w:tc>
        <w:tc>
          <w:tcPr>
            <w:tcW w:w="1277" w:type="pct"/>
            <w:noWrap w:val="0"/>
            <w:vAlign w:val="center"/>
          </w:tcPr>
          <w:p w14:paraId="196792D5">
            <w:pPr>
              <w:jc w:val="center"/>
              <w:rPr>
                <w:rFonts w:hint="default" w:ascii="Times New Roman" w:hAnsi="Times New Roman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宋体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</w:p>
        </w:tc>
        <w:tc>
          <w:tcPr>
            <w:tcW w:w="1151" w:type="pct"/>
            <w:vMerge w:val="continue"/>
            <w:noWrap w:val="0"/>
            <w:vAlign w:val="center"/>
          </w:tcPr>
          <w:p w14:paraId="233B6649">
            <w:pPr>
              <w:jc w:val="center"/>
              <w:rPr>
                <w:rFonts w:hint="eastAsia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</w:tbl>
    <w:p w14:paraId="1264D2F7">
      <w:pPr>
        <w:spacing w:line="480" w:lineRule="auto"/>
        <w:rPr>
          <w:rFonts w:hint="default" w:ascii="Times New Roman" w:hAnsi="Times New Roman" w:cs="Times New Roman"/>
          <w:color w:val="auto"/>
          <w:sz w:val="24"/>
          <w:szCs w:val="24"/>
        </w:rPr>
      </w:pPr>
    </w:p>
    <w:p w14:paraId="265D95C9">
      <w:pPr>
        <w:spacing w:line="480" w:lineRule="auto"/>
        <w:ind w:firstLine="480" w:firstLineChars="200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注</w:t>
      </w:r>
      <w:r>
        <w:rPr>
          <w:rFonts w:hint="default" w:ascii="Times New Roman" w:hAnsi="Times New Roman" w:cs="Times New Roman"/>
          <w:color w:val="auto"/>
          <w:sz w:val="24"/>
          <w:szCs w:val="24"/>
          <w:lang w:eastAsia="zh-CN"/>
        </w:rPr>
        <w:t>：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所有报价均用人民币表示，</w:t>
      </w:r>
      <w:r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  <w:t>采用上述差额定率累进收费标准收取拍卖佣金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，该费用为</w:t>
      </w:r>
      <w:r>
        <w:rPr>
          <w:rFonts w:hint="default" w:ascii="Times New Roman" w:hAnsi="Times New Roman" w:cs="Times New Roman"/>
          <w:color w:val="auto"/>
          <w:sz w:val="24"/>
          <w:szCs w:val="24"/>
          <w:lang w:eastAsia="zh-CN"/>
        </w:rPr>
        <w:t>固定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包干费用，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en-US" w:eastAsia="zh-CN"/>
        </w:rPr>
        <w:t>包括但不限于</w:t>
      </w:r>
      <w:r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  <w:t>拍卖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en-US" w:eastAsia="zh-CN"/>
        </w:rPr>
        <w:t>、编制、会务费、人工费、材料费、交通费、差旅费、税费、利润、保险费等为完成本项目约定服务的所有费用，以及后续服务费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。</w:t>
      </w:r>
    </w:p>
    <w:p w14:paraId="28EC4F97">
      <w:pPr>
        <w:pStyle w:val="2"/>
        <w:rPr>
          <w:rFonts w:hint="default" w:ascii="Times New Roman" w:hAnsi="Times New Roman" w:cs="Times New Roman"/>
          <w:color w:val="auto"/>
          <w:sz w:val="24"/>
          <w:szCs w:val="24"/>
        </w:rPr>
      </w:pPr>
    </w:p>
    <w:p w14:paraId="02F3F866">
      <w:pPr>
        <w:adjustRightInd w:val="0"/>
        <w:spacing w:line="480" w:lineRule="auto"/>
        <w:ind w:firstLine="3578" w:firstLineChars="1491"/>
        <w:jc w:val="left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单位名称：</w:t>
      </w:r>
      <w:r>
        <w:rPr>
          <w:rFonts w:hint="default" w:ascii="Times New Roman" w:hAnsi="Times New Roman" w:cs="Times New Roman"/>
          <w:color w:val="auto"/>
          <w:sz w:val="24"/>
          <w:szCs w:val="24"/>
          <w:u w:val="single"/>
        </w:rPr>
        <w:t xml:space="preserve">           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（盖单位公章）</w:t>
      </w:r>
    </w:p>
    <w:p w14:paraId="5EE308D9">
      <w:pPr>
        <w:bidi w:val="0"/>
        <w:ind w:firstLine="3600" w:firstLineChars="1500"/>
        <w:jc w:val="left"/>
      </w:pPr>
      <w:r>
        <w:rPr>
          <w:rFonts w:hint="default" w:ascii="Times New Roman" w:hAnsi="Times New Roman" w:cs="Times New Roman"/>
          <w:bCs/>
          <w:color w:val="auto"/>
          <w:sz w:val="24"/>
          <w:szCs w:val="24"/>
        </w:rPr>
        <w:t>日  期：</w:t>
      </w:r>
      <w:r>
        <w:rPr>
          <w:rFonts w:hint="default" w:ascii="Times New Roman" w:hAnsi="Times New Roman" w:cs="Times New Roman"/>
          <w:color w:val="auto"/>
          <w:sz w:val="24"/>
          <w:szCs w:val="24"/>
          <w:u w:val="single"/>
        </w:rPr>
        <w:t xml:space="preserve">       </w:t>
      </w:r>
      <w:r>
        <w:rPr>
          <w:rFonts w:hint="default" w:ascii="Times New Roman" w:hAnsi="Times New Roman" w:cs="Times New Roman"/>
          <w:bCs/>
          <w:color w:val="auto"/>
          <w:sz w:val="24"/>
          <w:szCs w:val="24"/>
        </w:rPr>
        <w:t>年</w:t>
      </w:r>
      <w:r>
        <w:rPr>
          <w:rFonts w:hint="default" w:ascii="Times New Roman" w:hAnsi="Times New Roman" w:cs="Times New Roman"/>
          <w:color w:val="auto"/>
          <w:sz w:val="24"/>
          <w:szCs w:val="24"/>
          <w:u w:val="single"/>
        </w:rPr>
        <w:t xml:space="preserve">      </w:t>
      </w:r>
      <w:r>
        <w:rPr>
          <w:rFonts w:hint="default" w:ascii="Times New Roman" w:hAnsi="Times New Roman" w:cs="Times New Roman"/>
          <w:bCs/>
          <w:color w:val="auto"/>
          <w:sz w:val="24"/>
          <w:szCs w:val="24"/>
        </w:rPr>
        <w:t>月</w:t>
      </w:r>
      <w:r>
        <w:rPr>
          <w:rFonts w:hint="default" w:ascii="Times New Roman" w:hAnsi="Times New Roman" w:cs="Times New Roman"/>
          <w:color w:val="auto"/>
          <w:sz w:val="24"/>
          <w:szCs w:val="24"/>
          <w:u w:val="single"/>
        </w:rPr>
        <w:t xml:space="preserve">       </w:t>
      </w:r>
      <w:r>
        <w:rPr>
          <w:rFonts w:hint="default" w:ascii="Times New Roman" w:hAnsi="Times New Roman" w:cs="Times New Roman"/>
          <w:bCs/>
          <w:color w:val="auto"/>
          <w:sz w:val="24"/>
          <w:szCs w:val="24"/>
        </w:rPr>
        <w:t>日</w:t>
      </w:r>
    </w:p>
    <w:p w14:paraId="779AAAD7"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77791A">
    <w:pPr>
      <w:pStyle w:val="3"/>
      <w:tabs>
        <w:tab w:val="left" w:pos="459"/>
        <w:tab w:val="clear" w:pos="4153"/>
      </w:tabs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3MjIzNWMxY2NiOTdhZTA0ZmM2NDJhNzQwNDZkZmYifQ=="/>
  </w:docVars>
  <w:rsids>
    <w:rsidRoot w:val="00000000"/>
    <w:rsid w:val="0EC96B12"/>
    <w:rsid w:val="22CB4882"/>
    <w:rsid w:val="2EDA7F57"/>
    <w:rsid w:val="34193C9E"/>
    <w:rsid w:val="37F17BF7"/>
    <w:rsid w:val="3DCC5129"/>
    <w:rsid w:val="64FA119C"/>
    <w:rsid w:val="672A1D24"/>
    <w:rsid w:val="68BF1C15"/>
    <w:rsid w:val="7B552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spacing w:after="120"/>
    </w:p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Quote"/>
    <w:basedOn w:val="1"/>
    <w:next w:val="1"/>
    <w:autoRedefine/>
    <w:qFormat/>
    <w:uiPriority w:val="0"/>
    <w:pPr>
      <w:widowControl/>
      <w:jc w:val="left"/>
    </w:pPr>
    <w:rPr>
      <w:i/>
      <w:iCs/>
      <w:color w:val="000000"/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348</Words>
  <Characters>380</Characters>
  <Lines>0</Lines>
  <Paragraphs>0</Paragraphs>
  <TotalTime>0</TotalTime>
  <ScaleCrop>false</ScaleCrop>
  <LinksUpToDate>false</LinksUpToDate>
  <CharactersWithSpaces>426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WPS_1719461108</cp:lastModifiedBy>
  <cp:lastPrinted>2025-02-06T09:22:00Z</cp:lastPrinted>
  <dcterms:modified xsi:type="dcterms:W3CDTF">2025-02-25T01:00:27Z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4252E4429DC8463B812D313AFB65576B_12</vt:lpwstr>
  </property>
  <property fmtid="{D5CDD505-2E9C-101B-9397-08002B2CF9AE}" pid="4" name="KSOTemplateDocerSaveRecord">
    <vt:lpwstr>eyJoZGlkIjoiMDZlOTJhOGE0YzA1ZmI3NGVjNDY2NTlhMTAxNmM4MGMiLCJ1c2VySWQiOiIxNjEwMjUzOTMxIn0=</vt:lpwstr>
  </property>
</Properties>
</file>