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高新发展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德阳高新区新丰街道办老街棚户区改造项目、德阳高新区新丰街道办老街棚户区改造配套设施建设项目“打捆”工程</w:t>
      </w:r>
      <w:r>
        <w:rPr>
          <w:rFonts w:hint="eastAsia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水土保持监测服务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</w:t>
      </w:r>
      <w:r>
        <w:rPr>
          <w:rFonts w:hint="eastAsia"/>
          <w:color w:val="auto"/>
          <w:sz w:val="24"/>
          <w:szCs w:val="24"/>
          <w:lang w:eastAsia="zh-CN"/>
        </w:rPr>
        <w:t>：</w:t>
      </w:r>
      <w:r>
        <w:rPr>
          <w:rFonts w:hint="eastAsia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42E96BC-4A8E-460B-A3C5-60B64DB78EAD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13443DE-CD30-4921-B599-7E0844207D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FD676A0"/>
    <w:rsid w:val="0FD676A0"/>
    <w:rsid w:val="3E887F0E"/>
    <w:rsid w:val="5532100D"/>
    <w:rsid w:val="5DD54B45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0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2022-11-18T07:41:00Z</dcterms:created>
  <dc:creator>FFF</dc:creator>
  <cp:lastModifiedBy>only time</cp:lastModifiedBy>
  <dcterms:modified xsi:type="dcterms:W3CDTF">2023-03-22T08:49:25Z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0FC8A419310A4F248464F012FCA3E0ED</vt:lpwstr>
  </property>
</Properties>
</file>