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7F89" w14:textId="1EA88093" w:rsidR="002671B7" w:rsidRPr="002671B7" w:rsidRDefault="002671B7" w:rsidP="002671B7">
      <w:pPr>
        <w:shd w:val="clear" w:color="auto" w:fill="FFFFFF"/>
        <w:adjustRightInd w:val="0"/>
        <w:snapToGrid w:val="0"/>
        <w:spacing w:line="276" w:lineRule="auto"/>
        <w:jc w:val="left"/>
        <w:rPr>
          <w:rFonts w:ascii="黑体" w:eastAsia="黑体" w:hAnsi="黑体" w:cs="宋体"/>
          <w:b/>
          <w:bCs/>
          <w:color w:val="333333"/>
          <w:kern w:val="0"/>
          <w:sz w:val="32"/>
          <w:szCs w:val="32"/>
        </w:rPr>
      </w:pPr>
      <w:r w:rsidRPr="002671B7">
        <w:rPr>
          <w:rFonts w:ascii="黑体" w:eastAsia="黑体" w:hAnsi="黑体" w:cs="宋体" w:hint="eastAsia"/>
          <w:b/>
          <w:bCs/>
          <w:color w:val="333333"/>
          <w:kern w:val="0"/>
          <w:sz w:val="32"/>
          <w:szCs w:val="32"/>
        </w:rPr>
        <w:t>附件1：</w:t>
      </w:r>
    </w:p>
    <w:p w14:paraId="2D5DA62E" w14:textId="206D4D98" w:rsidR="003205DD" w:rsidRPr="00EE3A67" w:rsidRDefault="003205DD" w:rsidP="002671B7">
      <w:pPr>
        <w:shd w:val="clear" w:color="auto" w:fill="FFFFFF"/>
        <w:adjustRightInd w:val="0"/>
        <w:snapToGrid w:val="0"/>
        <w:spacing w:line="276" w:lineRule="auto"/>
        <w:jc w:val="center"/>
        <w:rPr>
          <w:rFonts w:ascii="宋体" w:eastAsia="宋体" w:hAnsi="宋体" w:cs="宋体"/>
          <w:b/>
          <w:bCs/>
          <w:color w:val="333333"/>
          <w:kern w:val="0"/>
          <w:sz w:val="36"/>
          <w:szCs w:val="36"/>
        </w:rPr>
      </w:pPr>
      <w:r w:rsidRPr="00EE3A67">
        <w:rPr>
          <w:rFonts w:ascii="宋体" w:eastAsia="宋体" w:hAnsi="宋体" w:cs="宋体" w:hint="eastAsia"/>
          <w:b/>
          <w:bCs/>
          <w:color w:val="333333"/>
          <w:kern w:val="0"/>
          <w:sz w:val="36"/>
          <w:szCs w:val="36"/>
        </w:rPr>
        <w:t>四川省造价工程师协会</w:t>
      </w:r>
    </w:p>
    <w:p w14:paraId="7CBCEB21" w14:textId="77777777" w:rsidR="003205DD" w:rsidRPr="00EE3A67" w:rsidRDefault="003205DD" w:rsidP="002671B7">
      <w:pPr>
        <w:shd w:val="clear" w:color="auto" w:fill="FFFFFF"/>
        <w:adjustRightInd w:val="0"/>
        <w:snapToGrid w:val="0"/>
        <w:spacing w:line="276" w:lineRule="auto"/>
        <w:jc w:val="center"/>
        <w:rPr>
          <w:rFonts w:ascii="宋体" w:eastAsia="宋体" w:hAnsi="宋体" w:cs="宋体"/>
          <w:b/>
          <w:bCs/>
          <w:color w:val="333333"/>
          <w:kern w:val="0"/>
          <w:sz w:val="36"/>
          <w:szCs w:val="36"/>
        </w:rPr>
      </w:pPr>
      <w:r w:rsidRPr="00EE3A67">
        <w:rPr>
          <w:rFonts w:ascii="宋体" w:eastAsia="宋体" w:hAnsi="宋体" w:cs="宋体" w:hint="eastAsia"/>
          <w:b/>
          <w:bCs/>
          <w:color w:val="333333"/>
          <w:kern w:val="0"/>
          <w:sz w:val="36"/>
          <w:szCs w:val="36"/>
        </w:rPr>
        <w:t>工程造价纠纷调解委员会管理办法</w:t>
      </w:r>
    </w:p>
    <w:p w14:paraId="580E0558" w14:textId="66C48472" w:rsidR="003205DD" w:rsidRDefault="003205DD" w:rsidP="002671B7">
      <w:pPr>
        <w:shd w:val="clear" w:color="auto" w:fill="FFFFFF"/>
        <w:adjustRightInd w:val="0"/>
        <w:snapToGrid w:val="0"/>
        <w:spacing w:line="276" w:lineRule="auto"/>
        <w:jc w:val="center"/>
        <w:rPr>
          <w:rFonts w:ascii="宋体" w:eastAsia="宋体" w:hAnsi="宋体" w:cs="宋体"/>
          <w:b/>
          <w:bCs/>
          <w:color w:val="333333"/>
          <w:kern w:val="0"/>
          <w:sz w:val="36"/>
          <w:szCs w:val="36"/>
        </w:rPr>
      </w:pPr>
      <w:r w:rsidRPr="00EE3A67">
        <w:rPr>
          <w:rFonts w:ascii="宋体" w:eastAsia="宋体" w:hAnsi="宋体" w:cs="宋体" w:hint="eastAsia"/>
          <w:b/>
          <w:bCs/>
          <w:color w:val="333333"/>
          <w:kern w:val="0"/>
          <w:sz w:val="36"/>
          <w:szCs w:val="36"/>
        </w:rPr>
        <w:t>（</w:t>
      </w:r>
      <w:r w:rsidR="00995144" w:rsidRPr="00EE3A67">
        <w:rPr>
          <w:rFonts w:ascii="宋体" w:eastAsia="宋体" w:hAnsi="宋体" w:cs="宋体" w:hint="eastAsia"/>
          <w:b/>
          <w:bCs/>
          <w:color w:val="333333"/>
          <w:kern w:val="0"/>
          <w:sz w:val="36"/>
          <w:szCs w:val="36"/>
        </w:rPr>
        <w:t>试 行</w:t>
      </w:r>
      <w:r w:rsidRPr="00EE3A67">
        <w:rPr>
          <w:rFonts w:ascii="宋体" w:eastAsia="宋体" w:hAnsi="宋体" w:cs="宋体" w:hint="eastAsia"/>
          <w:b/>
          <w:bCs/>
          <w:color w:val="333333"/>
          <w:kern w:val="0"/>
          <w:sz w:val="36"/>
          <w:szCs w:val="36"/>
        </w:rPr>
        <w:t>）</w:t>
      </w:r>
    </w:p>
    <w:p w14:paraId="66F98DCE" w14:textId="77777777" w:rsidR="002671B7" w:rsidRPr="002671B7" w:rsidRDefault="002671B7" w:rsidP="002671B7">
      <w:pPr>
        <w:shd w:val="clear" w:color="auto" w:fill="FFFFFF"/>
        <w:adjustRightInd w:val="0"/>
        <w:snapToGrid w:val="0"/>
        <w:spacing w:line="276" w:lineRule="auto"/>
        <w:jc w:val="center"/>
        <w:rPr>
          <w:rFonts w:ascii="宋体" w:eastAsia="宋体" w:hAnsi="宋体" w:cs="宋体"/>
          <w:b/>
          <w:bCs/>
          <w:color w:val="333333"/>
          <w:kern w:val="0"/>
          <w:sz w:val="36"/>
          <w:szCs w:val="36"/>
        </w:rPr>
      </w:pPr>
    </w:p>
    <w:p w14:paraId="2CEFE7FF"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第一条 </w:t>
      </w:r>
      <w:r w:rsidRPr="00C65E36">
        <w:rPr>
          <w:rFonts w:ascii="宋体" w:eastAsia="宋体" w:hAnsi="宋体" w:cs="宋体" w:hint="eastAsia"/>
          <w:color w:val="333333"/>
          <w:kern w:val="0"/>
          <w:sz w:val="28"/>
          <w:szCs w:val="28"/>
        </w:rPr>
        <w:t>为推动建设工程造价纠纷调解，规范工程造价纠纷调解委员会的工作，四川省造价工程师协会（以下称协会）依据《四川省造价工程师协会章程》，制订本办法。</w:t>
      </w:r>
    </w:p>
    <w:p w14:paraId="0AA3F21D"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第二条 </w:t>
      </w:r>
      <w:r w:rsidRPr="00C65E36">
        <w:rPr>
          <w:rFonts w:ascii="宋体" w:eastAsia="宋体" w:hAnsi="宋体" w:cs="宋体" w:hint="eastAsia"/>
          <w:color w:val="333333"/>
          <w:kern w:val="0"/>
          <w:sz w:val="28"/>
          <w:szCs w:val="28"/>
        </w:rPr>
        <w:t>四川省造价工程师协会工程造价纠纷调解委员会（以下称调解委员会）依据协会理事会决定设立，调解委员会工作人员由协会聘任。</w:t>
      </w:r>
    </w:p>
    <w:p w14:paraId="4E8BF928"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第三条 </w:t>
      </w:r>
      <w:r w:rsidRPr="00C65E36">
        <w:rPr>
          <w:rFonts w:ascii="宋体" w:eastAsia="宋体" w:hAnsi="宋体" w:cs="宋体" w:hint="eastAsia"/>
          <w:color w:val="333333"/>
          <w:kern w:val="0"/>
          <w:sz w:val="28"/>
          <w:szCs w:val="28"/>
        </w:rPr>
        <w:t>调解委员会服务宗旨：坚持党的全面领导，遵守法律、法规和国家政策，遵守道德规范，充分发挥行业协会的作用及专业化、职业化优势，鼓励、引导自然人、法人或非法人组织采用和解或调解方式解决纠纷，促进社会和谐。</w:t>
      </w:r>
    </w:p>
    <w:p w14:paraId="6AE25D54"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第四条 </w:t>
      </w:r>
      <w:r w:rsidRPr="00C65E36">
        <w:rPr>
          <w:rFonts w:ascii="宋体" w:eastAsia="宋体" w:hAnsi="宋体" w:cs="宋体" w:hint="eastAsia"/>
          <w:color w:val="333333"/>
          <w:kern w:val="0"/>
          <w:sz w:val="28"/>
          <w:szCs w:val="28"/>
        </w:rPr>
        <w:t>调解委员会主要履行以下职责：</w:t>
      </w:r>
    </w:p>
    <w:p w14:paraId="09234BA4"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（一）建立建设工程造价纠纷行业调解制度；</w:t>
      </w:r>
    </w:p>
    <w:p w14:paraId="2A198A40"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（二）组织开展建设工程造价纠纷调解工作，对工程造价纠纷处理过程中的新问题及时研究，向有关部门反映相关问题并提出专业建议；</w:t>
      </w:r>
    </w:p>
    <w:p w14:paraId="30D99184"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（三）建立调解员名册，指导调解员开展工作，负责调解员培训、考核、评估等动态管理；</w:t>
      </w:r>
    </w:p>
    <w:p w14:paraId="25B04DBF"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（四）依法申请加入人民法院特邀调解组织，推荐特邀调解员；</w:t>
      </w:r>
    </w:p>
    <w:p w14:paraId="77A3553A"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（五）协调对接人民法院、仲裁机构及有关部门；</w:t>
      </w:r>
    </w:p>
    <w:p w14:paraId="50097ECA"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（六）建立专家辅助人名册，提供专业咨询；</w:t>
      </w:r>
    </w:p>
    <w:p w14:paraId="1751FACE"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（七）组织开展鉴定意见书评审工作；</w:t>
      </w:r>
    </w:p>
    <w:p w14:paraId="3F0F6822"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（八）组织开展建设工程造价纠纷联动化解工作的宣传推广；</w:t>
      </w:r>
    </w:p>
    <w:p w14:paraId="4D1ABC23"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lastRenderedPageBreak/>
        <w:t>（九）履行协会确定的其他职责。</w:t>
      </w:r>
    </w:p>
    <w:p w14:paraId="15B0781D"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第五条 </w:t>
      </w:r>
      <w:r w:rsidRPr="00C65E36">
        <w:rPr>
          <w:rFonts w:ascii="宋体" w:eastAsia="宋体" w:hAnsi="宋体" w:cs="宋体" w:hint="eastAsia"/>
          <w:color w:val="333333"/>
          <w:kern w:val="0"/>
          <w:sz w:val="28"/>
          <w:szCs w:val="28"/>
        </w:rPr>
        <w:t>调解委员会业务范围包括：</w:t>
      </w:r>
    </w:p>
    <w:p w14:paraId="2DFCAB81"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（一）接受人民法院、仲裁机构、行政机关、其他调解组织委派或委托，组织案件调解；</w:t>
      </w:r>
    </w:p>
    <w:p w14:paraId="514C4BD4"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（二）接受当事人申请，组织案件调解，或组织合同工</w:t>
      </w:r>
      <w:proofErr w:type="gramStart"/>
      <w:r w:rsidRPr="00C65E36">
        <w:rPr>
          <w:rFonts w:ascii="宋体" w:eastAsia="宋体" w:hAnsi="宋体" w:cs="宋体" w:hint="eastAsia"/>
          <w:color w:val="333333"/>
          <w:kern w:val="0"/>
          <w:sz w:val="28"/>
          <w:szCs w:val="28"/>
        </w:rPr>
        <w:t>程实施</w:t>
      </w:r>
      <w:proofErr w:type="gramEnd"/>
      <w:r w:rsidRPr="00C65E36">
        <w:rPr>
          <w:rFonts w:ascii="宋体" w:eastAsia="宋体" w:hAnsi="宋体" w:cs="宋体" w:hint="eastAsia"/>
          <w:color w:val="333333"/>
          <w:kern w:val="0"/>
          <w:sz w:val="28"/>
          <w:szCs w:val="28"/>
        </w:rPr>
        <w:t>过程中具体争议事项调解；</w:t>
      </w:r>
    </w:p>
    <w:p w14:paraId="7705E74B"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（三）协助当事人就调解协议向人民法院或仲裁机构申请确认；</w:t>
      </w:r>
    </w:p>
    <w:p w14:paraId="38871BF0"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（四）负责与人民法院、仲裁机构以及其他调解组织进行沟通联络工作和业务交流，建立定期或不定期联席会议制度；</w:t>
      </w:r>
    </w:p>
    <w:p w14:paraId="32478B0C"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（五）负责与建立委派或委托关系的人民法院及仲裁机构的定期沟通联络工作，与人民法院</w:t>
      </w:r>
      <w:proofErr w:type="gramStart"/>
      <w:r w:rsidRPr="00C65E36">
        <w:rPr>
          <w:rFonts w:ascii="宋体" w:eastAsia="宋体" w:hAnsi="宋体" w:cs="宋体" w:hint="eastAsia"/>
          <w:color w:val="333333"/>
          <w:kern w:val="0"/>
          <w:sz w:val="28"/>
          <w:szCs w:val="28"/>
        </w:rPr>
        <w:t>的诉调对接</w:t>
      </w:r>
      <w:proofErr w:type="gramEnd"/>
      <w:r w:rsidRPr="00C65E36">
        <w:rPr>
          <w:rFonts w:ascii="宋体" w:eastAsia="宋体" w:hAnsi="宋体" w:cs="宋体" w:hint="eastAsia"/>
          <w:color w:val="333333"/>
          <w:kern w:val="0"/>
          <w:sz w:val="28"/>
          <w:szCs w:val="28"/>
        </w:rPr>
        <w:t>平台、仲裁机构的仲裁调解平台进行协调和业务交流；</w:t>
      </w:r>
    </w:p>
    <w:p w14:paraId="7DAE226C"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（六）调查、研究调解员调解纠纷相关法规、政策、理论，为行业提供专业性法律咨询服务，并对调解员调解纠纷进行实操课程培训；</w:t>
      </w:r>
    </w:p>
    <w:p w14:paraId="1C6B8BFD" w14:textId="77777777"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（七）组织或承担调解过程中需要实施的其他工作；</w:t>
      </w:r>
    </w:p>
    <w:p w14:paraId="64E61B09"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（八）办理协会交办的其他事务。</w:t>
      </w:r>
    </w:p>
    <w:p w14:paraId="6AA815F6"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第六条 </w:t>
      </w:r>
      <w:r w:rsidRPr="00C65E36">
        <w:rPr>
          <w:rFonts w:ascii="宋体" w:eastAsia="宋体" w:hAnsi="宋体" w:cs="宋体" w:hint="eastAsia"/>
          <w:color w:val="333333"/>
          <w:kern w:val="0"/>
          <w:sz w:val="28"/>
          <w:szCs w:val="28"/>
        </w:rPr>
        <w:t>调解委员会实行主任负责制。设主任1名，副主任2-3名，秘书长1名。主任、副主任、秘书长由协会任命。副主任协助主任工作。</w:t>
      </w:r>
    </w:p>
    <w:p w14:paraId="4D5F7B92"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第七条 </w:t>
      </w:r>
      <w:r w:rsidRPr="00C65E36">
        <w:rPr>
          <w:rFonts w:ascii="宋体" w:eastAsia="宋体" w:hAnsi="宋体" w:cs="宋体" w:hint="eastAsia"/>
          <w:color w:val="333333"/>
          <w:kern w:val="0"/>
          <w:sz w:val="28"/>
          <w:szCs w:val="28"/>
        </w:rPr>
        <w:t>调解委员会主任主要履行以下职责：</w:t>
      </w:r>
    </w:p>
    <w:p w14:paraId="63147DE2"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（一）负责调解委员会日常管理；</w:t>
      </w:r>
    </w:p>
    <w:p w14:paraId="242E2BE2"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（二）执行协会的决议；</w:t>
      </w:r>
    </w:p>
    <w:p w14:paraId="1A563C58"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（三）审定工作计划和预算。</w:t>
      </w:r>
    </w:p>
    <w:p w14:paraId="7955BB21" w14:textId="77777777" w:rsidR="003205DD" w:rsidRPr="00C65E36" w:rsidRDefault="003205DD" w:rsidP="002671B7">
      <w:pPr>
        <w:shd w:val="clear" w:color="auto" w:fill="FFFFFF"/>
        <w:adjustRightInd w:val="0"/>
        <w:snapToGrid w:val="0"/>
        <w:spacing w:line="360" w:lineRule="auto"/>
        <w:ind w:firstLine="558"/>
        <w:jc w:val="left"/>
        <w:rPr>
          <w:rFonts w:ascii="宋体" w:eastAsia="宋体" w:hAnsi="宋体" w:cs="宋体"/>
          <w:bCs/>
          <w:color w:val="333333"/>
          <w:kern w:val="0"/>
          <w:sz w:val="28"/>
          <w:szCs w:val="28"/>
        </w:rPr>
      </w:pPr>
      <w:r w:rsidRPr="00C65E36">
        <w:rPr>
          <w:rFonts w:ascii="宋体" w:eastAsia="宋体" w:hAnsi="宋体" w:cs="宋体" w:hint="eastAsia"/>
          <w:b/>
          <w:bCs/>
          <w:color w:val="333333"/>
          <w:kern w:val="0"/>
          <w:sz w:val="28"/>
          <w:szCs w:val="28"/>
        </w:rPr>
        <w:t xml:space="preserve">第八条 </w:t>
      </w:r>
      <w:r w:rsidRPr="00C65E36">
        <w:rPr>
          <w:rFonts w:ascii="宋体" w:eastAsia="宋体" w:hAnsi="宋体" w:cs="宋体" w:hint="eastAsia"/>
          <w:bCs/>
          <w:color w:val="333333"/>
          <w:kern w:val="0"/>
          <w:sz w:val="28"/>
          <w:szCs w:val="28"/>
        </w:rPr>
        <w:t>调解委员会秘书长主要履行以下职责：</w:t>
      </w:r>
    </w:p>
    <w:p w14:paraId="68F8E5E9"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（一）拟定工作计划、文件和制度；</w:t>
      </w:r>
    </w:p>
    <w:p w14:paraId="2F98FE7A"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（二）组织开展调解委员会相关会议；</w:t>
      </w:r>
    </w:p>
    <w:p w14:paraId="66AF7A1C" w14:textId="7575CCB1"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lastRenderedPageBreak/>
        <w:t xml:space="preserve">　　（三）组织开展调解员培训和管理工作。</w:t>
      </w:r>
    </w:p>
    <w:p w14:paraId="74EC7F5A" w14:textId="77777777" w:rsidR="003205DD" w:rsidRPr="00C65E36" w:rsidRDefault="003205DD" w:rsidP="002671B7">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C65E36">
        <w:rPr>
          <w:rFonts w:ascii="宋体" w:eastAsia="宋体" w:hAnsi="宋体" w:cs="宋体" w:hint="eastAsia"/>
          <w:b/>
          <w:bCs/>
          <w:color w:val="333333"/>
          <w:kern w:val="0"/>
          <w:sz w:val="28"/>
          <w:szCs w:val="28"/>
        </w:rPr>
        <w:t xml:space="preserve">第九条 </w:t>
      </w:r>
      <w:r w:rsidRPr="00C65E36">
        <w:rPr>
          <w:rFonts w:ascii="宋体" w:eastAsia="宋体" w:hAnsi="宋体" w:cs="宋体" w:hint="eastAsia"/>
          <w:color w:val="333333"/>
          <w:kern w:val="0"/>
          <w:sz w:val="28"/>
          <w:szCs w:val="28"/>
        </w:rPr>
        <w:t>调解委员会工作人员必须具备下列条件：</w:t>
      </w:r>
    </w:p>
    <w:p w14:paraId="2FDE9137"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（一）坚持党的路线、方针、政策，政治素质好；</w:t>
      </w:r>
    </w:p>
    <w:p w14:paraId="0875A5A7"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（二）熟悉工程造价纠纷调解业务，具有较强的沟通、协调能力；</w:t>
      </w:r>
    </w:p>
    <w:p w14:paraId="2460B3C3"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（三）身体健康，能坚持正常工作；</w:t>
      </w:r>
    </w:p>
    <w:p w14:paraId="2CDD0D3E"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（四）未受到剥夺政治权利的刑事处罚；</w:t>
      </w:r>
    </w:p>
    <w:p w14:paraId="3751CF5A"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（五）具有完全民事行为能力。</w:t>
      </w:r>
    </w:p>
    <w:p w14:paraId="588C82A4"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第十条 </w:t>
      </w:r>
      <w:r w:rsidRPr="00C65E36">
        <w:rPr>
          <w:rFonts w:ascii="宋体" w:eastAsia="宋体" w:hAnsi="宋体" w:cs="宋体" w:hint="eastAsia"/>
          <w:color w:val="333333"/>
          <w:kern w:val="0"/>
          <w:sz w:val="28"/>
          <w:szCs w:val="28"/>
        </w:rPr>
        <w:t>调解委员会专职工作人员由调解委员会主任提出建议人选，由四川省造价工程师协会聘任。</w:t>
      </w:r>
    </w:p>
    <w:p w14:paraId="217CAA57"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第十一条 </w:t>
      </w:r>
      <w:r w:rsidRPr="00C65E36">
        <w:rPr>
          <w:rFonts w:ascii="宋体" w:eastAsia="宋体" w:hAnsi="宋体" w:cs="宋体" w:hint="eastAsia"/>
          <w:color w:val="333333"/>
          <w:kern w:val="0"/>
          <w:sz w:val="28"/>
          <w:szCs w:val="28"/>
        </w:rPr>
        <w:t>调解委员会按照协会的财务管理制度执行，账户纳入协会财务统一管理，并自觉接受协会以及相关主管部门的监督检查，保证资金收入与支出合法、真实、准确、完整。</w:t>
      </w:r>
    </w:p>
    <w:p w14:paraId="469FA080"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w:t>
      </w:r>
      <w:r w:rsidRPr="00C65E36">
        <w:rPr>
          <w:rFonts w:ascii="宋体" w:eastAsia="宋体" w:hAnsi="宋体" w:cs="宋体" w:hint="eastAsia"/>
          <w:b/>
          <w:bCs/>
          <w:color w:val="333333"/>
          <w:kern w:val="0"/>
          <w:sz w:val="28"/>
          <w:szCs w:val="28"/>
        </w:rPr>
        <w:t xml:space="preserve">第十二条 </w:t>
      </w:r>
      <w:r w:rsidRPr="00C65E36">
        <w:rPr>
          <w:rFonts w:ascii="宋体" w:eastAsia="宋体" w:hAnsi="宋体" w:cs="宋体" w:hint="eastAsia"/>
          <w:color w:val="333333"/>
          <w:kern w:val="0"/>
          <w:sz w:val="28"/>
          <w:szCs w:val="28"/>
        </w:rPr>
        <w:t>有下列情形之一的，视情节轻重予以批评、责令限期整改，或经理事会、常务理事会审议后，予以撤销。</w:t>
      </w:r>
    </w:p>
    <w:p w14:paraId="74DD209E"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（一）违反国家有关规定设立下一级分支机构开展活动的；</w:t>
      </w:r>
    </w:p>
    <w:p w14:paraId="62395099"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（二）超出《四川省造价工程师协会章程》规定的宗旨和业务范围进行活动的；</w:t>
      </w:r>
    </w:p>
    <w:p w14:paraId="4BD5D985"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（三）未按国家相关规定履行报批手续，擅自开展对外、对港澳台地区活动的；</w:t>
      </w:r>
    </w:p>
    <w:p w14:paraId="66069848"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（四）违反国家有关规定收取费用、筹集资金或者接受、使用捐赠、资助的；</w:t>
      </w:r>
    </w:p>
    <w:p w14:paraId="260D019C"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（五）侵占、私分、挪用机构资产或者所接受的捐赠、资助的；</w:t>
      </w:r>
    </w:p>
    <w:p w14:paraId="5C039663" w14:textId="77777777" w:rsidR="003205DD" w:rsidRPr="00C65E36" w:rsidRDefault="003205DD" w:rsidP="002671B7">
      <w:pPr>
        <w:shd w:val="clear" w:color="auto" w:fill="FFFFFF"/>
        <w:adjustRightInd w:val="0"/>
        <w:snapToGrid w:val="0"/>
        <w:spacing w:line="360" w:lineRule="auto"/>
        <w:jc w:val="left"/>
        <w:rPr>
          <w:rFonts w:ascii="宋体" w:eastAsia="宋体" w:hAnsi="宋体" w:cs="宋体"/>
          <w:color w:val="333333"/>
          <w:kern w:val="0"/>
          <w:sz w:val="28"/>
          <w:szCs w:val="28"/>
        </w:rPr>
      </w:pPr>
      <w:r w:rsidRPr="00C65E36">
        <w:rPr>
          <w:rFonts w:ascii="宋体" w:eastAsia="宋体" w:hAnsi="宋体" w:cs="宋体" w:hint="eastAsia"/>
          <w:color w:val="333333"/>
          <w:kern w:val="0"/>
          <w:sz w:val="28"/>
          <w:szCs w:val="28"/>
        </w:rPr>
        <w:t xml:space="preserve">　　（六）其他违反国家相关法律法规以及协会章程和本办法情形的。</w:t>
      </w:r>
    </w:p>
    <w:p w14:paraId="10AD3034" w14:textId="67B31D11" w:rsidR="003205DD" w:rsidRPr="00C65E36" w:rsidRDefault="003205DD" w:rsidP="002671B7">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C65E36">
        <w:rPr>
          <w:rFonts w:ascii="宋体" w:eastAsia="宋体" w:hAnsi="宋体" w:cs="宋体" w:hint="eastAsia"/>
          <w:b/>
          <w:bCs/>
          <w:color w:val="333333"/>
          <w:kern w:val="0"/>
          <w:sz w:val="28"/>
          <w:szCs w:val="28"/>
        </w:rPr>
        <w:t xml:space="preserve">第十三条 </w:t>
      </w:r>
      <w:r w:rsidRPr="00C65E36">
        <w:rPr>
          <w:rFonts w:ascii="宋体" w:eastAsia="宋体" w:hAnsi="宋体" w:cs="宋体" w:hint="eastAsia"/>
          <w:color w:val="333333"/>
          <w:kern w:val="0"/>
          <w:sz w:val="28"/>
          <w:szCs w:val="28"/>
        </w:rPr>
        <w:t>本办法由四川省造价工程师协会负责解释，自发布之日起执行。</w:t>
      </w:r>
    </w:p>
    <w:sectPr w:rsidR="003205DD" w:rsidRPr="00C65E36" w:rsidSect="00435F9B">
      <w:footerReference w:type="default" r:id="rId6"/>
      <w:pgSz w:w="11906" w:h="16838"/>
      <w:pgMar w:top="1418" w:right="1531" w:bottom="1418" w:left="1531" w:header="737"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F2D4" w14:textId="77777777" w:rsidR="002824C6" w:rsidRDefault="002824C6" w:rsidP="003A00BD">
      <w:r>
        <w:separator/>
      </w:r>
    </w:p>
  </w:endnote>
  <w:endnote w:type="continuationSeparator" w:id="0">
    <w:p w14:paraId="49B42F7F" w14:textId="77777777" w:rsidR="002824C6" w:rsidRDefault="002824C6" w:rsidP="003A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88685"/>
      <w:docPartObj>
        <w:docPartGallery w:val="Page Numbers (Bottom of Page)"/>
        <w:docPartUnique/>
      </w:docPartObj>
    </w:sdtPr>
    <w:sdtContent>
      <w:p w14:paraId="5EF98A15" w14:textId="1307E53A" w:rsidR="00516FC4" w:rsidRDefault="00516FC4">
        <w:pPr>
          <w:pStyle w:val="a5"/>
          <w:jc w:val="center"/>
        </w:pPr>
        <w:r>
          <w:fldChar w:fldCharType="begin"/>
        </w:r>
        <w:r>
          <w:instrText>PAGE   \* MERGEFORMAT</w:instrText>
        </w:r>
        <w:r>
          <w:fldChar w:fldCharType="separate"/>
        </w:r>
        <w:r>
          <w:rPr>
            <w:lang w:val="zh-CN"/>
          </w:rPr>
          <w:t>2</w:t>
        </w:r>
        <w:r>
          <w:fldChar w:fldCharType="end"/>
        </w:r>
      </w:p>
    </w:sdtContent>
  </w:sdt>
  <w:p w14:paraId="3BEB394B" w14:textId="77777777" w:rsidR="00516FC4" w:rsidRDefault="00516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E67C" w14:textId="77777777" w:rsidR="002824C6" w:rsidRDefault="002824C6" w:rsidP="003A00BD">
      <w:r>
        <w:separator/>
      </w:r>
    </w:p>
  </w:footnote>
  <w:footnote w:type="continuationSeparator" w:id="0">
    <w:p w14:paraId="4DC68AAC" w14:textId="77777777" w:rsidR="002824C6" w:rsidRDefault="002824C6" w:rsidP="003A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50"/>
    <w:rsid w:val="000004A3"/>
    <w:rsid w:val="000157A0"/>
    <w:rsid w:val="000161FF"/>
    <w:rsid w:val="000272DA"/>
    <w:rsid w:val="0005775B"/>
    <w:rsid w:val="00067E00"/>
    <w:rsid w:val="000911C1"/>
    <w:rsid w:val="000A1DB4"/>
    <w:rsid w:val="000D7519"/>
    <w:rsid w:val="000E2C7F"/>
    <w:rsid w:val="001153C9"/>
    <w:rsid w:val="0015166E"/>
    <w:rsid w:val="00152C91"/>
    <w:rsid w:val="00182888"/>
    <w:rsid w:val="001927F7"/>
    <w:rsid w:val="001E7982"/>
    <w:rsid w:val="00230CB7"/>
    <w:rsid w:val="00250383"/>
    <w:rsid w:val="00264525"/>
    <w:rsid w:val="002671B7"/>
    <w:rsid w:val="0027340D"/>
    <w:rsid w:val="0027505F"/>
    <w:rsid w:val="002824C6"/>
    <w:rsid w:val="002B5E55"/>
    <w:rsid w:val="002E1300"/>
    <w:rsid w:val="002E3DD9"/>
    <w:rsid w:val="00313CA5"/>
    <w:rsid w:val="00315708"/>
    <w:rsid w:val="003205DD"/>
    <w:rsid w:val="00321D95"/>
    <w:rsid w:val="003245A1"/>
    <w:rsid w:val="00335D55"/>
    <w:rsid w:val="00380324"/>
    <w:rsid w:val="003A00BD"/>
    <w:rsid w:val="003C6821"/>
    <w:rsid w:val="003F1F02"/>
    <w:rsid w:val="003F223E"/>
    <w:rsid w:val="00403C78"/>
    <w:rsid w:val="00417A5C"/>
    <w:rsid w:val="00435F9B"/>
    <w:rsid w:val="00460350"/>
    <w:rsid w:val="00462BD0"/>
    <w:rsid w:val="00473546"/>
    <w:rsid w:val="004735FF"/>
    <w:rsid w:val="004A79DA"/>
    <w:rsid w:val="004C0DB9"/>
    <w:rsid w:val="004E0794"/>
    <w:rsid w:val="004E07B9"/>
    <w:rsid w:val="00507145"/>
    <w:rsid w:val="00512CA1"/>
    <w:rsid w:val="00516FC4"/>
    <w:rsid w:val="005213D1"/>
    <w:rsid w:val="00544922"/>
    <w:rsid w:val="005865EE"/>
    <w:rsid w:val="00586997"/>
    <w:rsid w:val="005C28C8"/>
    <w:rsid w:val="005F1EC7"/>
    <w:rsid w:val="006002D0"/>
    <w:rsid w:val="0060270C"/>
    <w:rsid w:val="00625326"/>
    <w:rsid w:val="00650D97"/>
    <w:rsid w:val="00676487"/>
    <w:rsid w:val="00676907"/>
    <w:rsid w:val="006A6108"/>
    <w:rsid w:val="006B0F6A"/>
    <w:rsid w:val="006E26F2"/>
    <w:rsid w:val="006E5131"/>
    <w:rsid w:val="007123C2"/>
    <w:rsid w:val="00743FDD"/>
    <w:rsid w:val="007458A6"/>
    <w:rsid w:val="00754CCE"/>
    <w:rsid w:val="007A7471"/>
    <w:rsid w:val="007C1C2A"/>
    <w:rsid w:val="007C69DC"/>
    <w:rsid w:val="008071C7"/>
    <w:rsid w:val="0081588D"/>
    <w:rsid w:val="00816BD7"/>
    <w:rsid w:val="00820666"/>
    <w:rsid w:val="00844D65"/>
    <w:rsid w:val="00852733"/>
    <w:rsid w:val="008A581D"/>
    <w:rsid w:val="008B5BBE"/>
    <w:rsid w:val="008D5FFE"/>
    <w:rsid w:val="008E1A24"/>
    <w:rsid w:val="009114A9"/>
    <w:rsid w:val="0093274F"/>
    <w:rsid w:val="009847FE"/>
    <w:rsid w:val="00985342"/>
    <w:rsid w:val="0098655B"/>
    <w:rsid w:val="00995144"/>
    <w:rsid w:val="009A11CE"/>
    <w:rsid w:val="009D14C9"/>
    <w:rsid w:val="009F443D"/>
    <w:rsid w:val="00A032B6"/>
    <w:rsid w:val="00A20308"/>
    <w:rsid w:val="00A231AE"/>
    <w:rsid w:val="00A44CC4"/>
    <w:rsid w:val="00A526C5"/>
    <w:rsid w:val="00A71298"/>
    <w:rsid w:val="00AC43BF"/>
    <w:rsid w:val="00AE1F85"/>
    <w:rsid w:val="00AF374C"/>
    <w:rsid w:val="00B06706"/>
    <w:rsid w:val="00B169CC"/>
    <w:rsid w:val="00B32A35"/>
    <w:rsid w:val="00B3788C"/>
    <w:rsid w:val="00BA613A"/>
    <w:rsid w:val="00BA66CD"/>
    <w:rsid w:val="00BD0130"/>
    <w:rsid w:val="00C02900"/>
    <w:rsid w:val="00C03126"/>
    <w:rsid w:val="00C16DF2"/>
    <w:rsid w:val="00C25ABA"/>
    <w:rsid w:val="00C3615C"/>
    <w:rsid w:val="00C43CC8"/>
    <w:rsid w:val="00C53206"/>
    <w:rsid w:val="00C6519B"/>
    <w:rsid w:val="00C65E36"/>
    <w:rsid w:val="00C75FCD"/>
    <w:rsid w:val="00CB5800"/>
    <w:rsid w:val="00CC00AB"/>
    <w:rsid w:val="00CC3CC9"/>
    <w:rsid w:val="00CE47D1"/>
    <w:rsid w:val="00D06FBB"/>
    <w:rsid w:val="00D50CDE"/>
    <w:rsid w:val="00DA445B"/>
    <w:rsid w:val="00DC6CB8"/>
    <w:rsid w:val="00DD3629"/>
    <w:rsid w:val="00DF5FDB"/>
    <w:rsid w:val="00E5182E"/>
    <w:rsid w:val="00E67069"/>
    <w:rsid w:val="00E73E45"/>
    <w:rsid w:val="00EE3A67"/>
    <w:rsid w:val="00F1284D"/>
    <w:rsid w:val="00F61721"/>
    <w:rsid w:val="00F70EC8"/>
    <w:rsid w:val="00F92EAF"/>
    <w:rsid w:val="00F9767A"/>
    <w:rsid w:val="00FA3CBF"/>
    <w:rsid w:val="00FD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A067"/>
  <w15:chartTrackingRefBased/>
  <w15:docId w15:val="{249DB8FC-87A5-41C7-963A-B0B4BD38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0BD"/>
    <w:pPr>
      <w:widowControl w:val="0"/>
      <w:jc w:val="both"/>
    </w:pPr>
    <w:rPr>
      <w14:ligatures w14:val="none"/>
    </w:rPr>
  </w:style>
  <w:style w:type="paragraph" w:styleId="1">
    <w:name w:val="heading 1"/>
    <w:basedOn w:val="a"/>
    <w:next w:val="a"/>
    <w:link w:val="10"/>
    <w:qFormat/>
    <w:rsid w:val="00313CA5"/>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00BD"/>
    <w:rPr>
      <w:sz w:val="18"/>
      <w:szCs w:val="18"/>
    </w:rPr>
  </w:style>
  <w:style w:type="paragraph" w:styleId="a5">
    <w:name w:val="footer"/>
    <w:basedOn w:val="a"/>
    <w:link w:val="a6"/>
    <w:uiPriority w:val="99"/>
    <w:unhideWhenUsed/>
    <w:rsid w:val="003A00BD"/>
    <w:pPr>
      <w:tabs>
        <w:tab w:val="center" w:pos="4153"/>
        <w:tab w:val="right" w:pos="8306"/>
      </w:tabs>
      <w:snapToGrid w:val="0"/>
      <w:jc w:val="left"/>
    </w:pPr>
    <w:rPr>
      <w:sz w:val="18"/>
      <w:szCs w:val="18"/>
    </w:rPr>
  </w:style>
  <w:style w:type="character" w:customStyle="1" w:styleId="a6">
    <w:name w:val="页脚 字符"/>
    <w:basedOn w:val="a0"/>
    <w:link w:val="a5"/>
    <w:uiPriority w:val="99"/>
    <w:rsid w:val="003A00BD"/>
    <w:rPr>
      <w:sz w:val="18"/>
      <w:szCs w:val="18"/>
    </w:rPr>
  </w:style>
  <w:style w:type="paragraph" w:styleId="a7">
    <w:name w:val="Normal (Web)"/>
    <w:basedOn w:val="a"/>
    <w:uiPriority w:val="99"/>
    <w:unhideWhenUsed/>
    <w:qFormat/>
    <w:rsid w:val="00313CA5"/>
    <w:pPr>
      <w:widowControl/>
      <w:spacing w:before="100" w:beforeAutospacing="1" w:after="100" w:afterAutospacing="1"/>
      <w:jc w:val="left"/>
    </w:pPr>
    <w:rPr>
      <w:rFonts w:ascii="宋体" w:eastAsia="宋体" w:hAnsi="宋体" w:cs="宋体"/>
      <w:kern w:val="0"/>
      <w:sz w:val="24"/>
      <w:szCs w:val="24"/>
    </w:rPr>
  </w:style>
  <w:style w:type="paragraph" w:customStyle="1" w:styleId="ql-align-center">
    <w:name w:val="ql-align-center"/>
    <w:basedOn w:val="a"/>
    <w:rsid w:val="00313CA5"/>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13CA5"/>
    <w:rPr>
      <w:rFonts w:ascii="等线" w:eastAsia="等线" w:hAnsi="等线" w:hint="eastAsia"/>
    </w:rPr>
  </w:style>
  <w:style w:type="character" w:customStyle="1" w:styleId="10">
    <w:name w:val="标题 1 字符"/>
    <w:basedOn w:val="a0"/>
    <w:link w:val="1"/>
    <w:rsid w:val="00313CA5"/>
    <w:rPr>
      <w:rFonts w:ascii="Times New Roman" w:eastAsia="宋体" w:hAnsi="Times New Roman" w:cs="Times New Roman"/>
      <w:b/>
      <w:bCs/>
      <w:kern w:val="44"/>
      <w:sz w:val="44"/>
      <w:szCs w:val="44"/>
      <w14:ligatures w14:val="none"/>
    </w:rPr>
  </w:style>
  <w:style w:type="paragraph" w:styleId="a8">
    <w:name w:val="Body Text"/>
    <w:basedOn w:val="a"/>
    <w:link w:val="a9"/>
    <w:uiPriority w:val="99"/>
    <w:qFormat/>
    <w:rsid w:val="00313CA5"/>
    <w:pPr>
      <w:spacing w:after="120"/>
    </w:pPr>
    <w:rPr>
      <w:rFonts w:ascii="Times New Roman" w:eastAsia="宋体" w:hAnsi="Times New Roman" w:cs="Times New Roman"/>
      <w:szCs w:val="24"/>
    </w:rPr>
  </w:style>
  <w:style w:type="character" w:customStyle="1" w:styleId="a9">
    <w:name w:val="正文文本 字符"/>
    <w:basedOn w:val="a0"/>
    <w:link w:val="a8"/>
    <w:uiPriority w:val="99"/>
    <w:rsid w:val="00313CA5"/>
    <w:rPr>
      <w:rFonts w:ascii="Times New Roman" w:eastAsia="宋体" w:hAnsi="Times New Roman" w:cs="Times New Roman"/>
      <w:szCs w:val="24"/>
      <w14:ligatures w14:val="none"/>
    </w:rPr>
  </w:style>
  <w:style w:type="character" w:styleId="aa">
    <w:name w:val="Strong"/>
    <w:qFormat/>
    <w:rsid w:val="00B3788C"/>
    <w:rPr>
      <w:b/>
    </w:rPr>
  </w:style>
  <w:style w:type="table" w:styleId="ab">
    <w:name w:val="Table Grid"/>
    <w:basedOn w:val="a1"/>
    <w:uiPriority w:val="39"/>
    <w:qFormat/>
    <w:rsid w:val="0027340D"/>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辜 琴</dc:creator>
  <cp:keywords/>
  <dc:description/>
  <cp:lastModifiedBy>琴 张</cp:lastModifiedBy>
  <cp:revision>3</cp:revision>
  <cp:lastPrinted>2023-05-29T04:48:00Z</cp:lastPrinted>
  <dcterms:created xsi:type="dcterms:W3CDTF">2023-06-12T06:14:00Z</dcterms:created>
  <dcterms:modified xsi:type="dcterms:W3CDTF">2023-06-12T06:47:00Z</dcterms:modified>
</cp:coreProperties>
</file>